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模块划分思路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自顶向下：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水平切分思路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——</w:t>
      </w:r>
      <w:r>
        <w:rPr>
          <w:rFonts w:hint="eastAsia" w:ascii="微软雅黑" w:hAnsi="微软雅黑" w:eastAsia="微软雅黑" w:cs="微软雅黑"/>
          <w:b w:val="0"/>
          <w:bCs w:val="0"/>
        </w:rPr>
        <w:t>分层。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垂直切分思路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——</w:t>
      </w:r>
      <w:r>
        <w:rPr>
          <w:rFonts w:hint="eastAsia" w:ascii="微软雅黑" w:hAnsi="微软雅黑" w:eastAsia="微软雅黑" w:cs="微软雅黑"/>
          <w:b w:val="0"/>
          <w:bCs w:val="0"/>
        </w:rPr>
        <w:t>功能模块。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自底向上：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先识别类、后归纳出模块的思路</w:t>
      </w:r>
      <w:r>
        <w:rPr>
          <w:rFonts w:hint="eastAsia" w:ascii="微软雅黑" w:hAnsi="微软雅黑" w:eastAsia="微软雅黑" w:cs="微软雅黑"/>
          <w:lang w:eastAsia="zh-CN"/>
        </w:rPr>
        <w:t>——</w:t>
      </w:r>
      <w:r>
        <w:rPr>
          <w:rFonts w:hint="eastAsia" w:ascii="微软雅黑" w:hAnsi="微软雅黑" w:eastAsia="微软雅黑" w:cs="微软雅黑"/>
        </w:rPr>
        <w:t>用例驱动。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拍脑袋：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需要大量灵感外加一些经验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水平切分与垂直切分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水平切分称为分层，垂直切分为功能模块（子系统）划分，均属于粗粒度模块划分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381500" cy="1819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水平切分+垂直切分才能划分细粒度的模块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409950" cy="2695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模块划分4步骤——EDD（封装驱动设计）方法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4步骤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研究需求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粗粒度分层、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细粒度划分模块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用例驱动的模块划分评审和优化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095750" cy="4371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细粒度模块划分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如何进行步骤3，细粒度模块划分？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划分技能：子分层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对每一层进一步分层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972050" cy="2228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划分技能：分区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划分功能模块，然后应用功能模块到分层上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划分技能：通用模块分离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将功能模块中通用的部分分离为一个模块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划分技能：通用机制框架化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将通用的机制划分为模块，应用到框架中（框架是半成品系统）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示例：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drawing>
          <wp:inline distT="0" distB="0" distL="114300" distR="114300">
            <wp:extent cx="5273675" cy="31623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FACD"/>
    <w:multiLevelType w:val="singleLevel"/>
    <w:tmpl w:val="2E76FAC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142EF0"/>
    <w:rsid w:val="7E2D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2019-11-05T04:10:05Z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