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本章还是继续来完善下仓储的设计。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6695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shd w:val="clear" w:color="auto" w:fill="2B6695"/>
        </w:rPr>
        <w:t>一、对仓储接口以及实现基类的完善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1、仓储实现基类的所有方法加上virtual关键字，方便具体的仓储在特定需求的时候override基类的方法。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　　//仓储的泛型实现类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EFBaseRepository&lt;TEntity&gt; : IRepository&lt;TEntity&gt;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TEntity : AggregateRoot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[Import(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(IEFUnitOfWork))]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IEFUnitOfWork UnitOfWork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EFBaseRepository()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Regisgter.regisgter().ComposeParts(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IQueryable&lt;TEntity&gt;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UnitOfWork.context.Set&lt;TEntity&gt;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TEntity GetByKey(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UnitOfWork.context.Set&lt;TEntity&gt;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().Find(key);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IQueryable&lt;TEntity&gt; Find(Expression&lt;Func&lt;TEntity,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&gt;&gt;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express)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Func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&lt;TEntity,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&gt; lamada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express.Compile();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UnitOfWork.context.Set&lt;TEntity&gt;().Where(lamada).AsQueryable&lt;TEntity&gt;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Insert(TEntity entity)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UnitOfWork.RegisterNew(entity);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Insert(IEnumerable&lt;TEntity&gt;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foreach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obj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UnitOfWork.RegisterNew(obj);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Delete(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obj = UnitOfWork.context.Set&lt;TEntity&gt;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().Find(id);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(obj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UnitOfWork.RegisterDeleted(obj);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Delete(TEntity entity)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UnitOfWork.RegisterDeleted(entity);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Delete(IEnumerable&lt;TEntity&gt;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foreach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entity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UnitOfWork.RegisterDeleted(entity);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Delete(Expression&lt;Func&lt;TEntity,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&gt;&gt;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express)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Func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&lt;TEntity,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&gt; lamada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express.Compile();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lstEntity = UnitOfWork.context.Set&lt;TEntity&gt;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().Where(lamada);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foreach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entity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lstEntity)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UnitOfWork.RegisterDeleted(entity);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Update(TEntity entity)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UnitOfWork.RegisterModified(entity);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2、查询和删除增加了传参lamada表达式的方法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仓储接口：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IRepository&lt;TEntity&gt;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TEntity : AggregateRoot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//...........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公共方法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根据lamada表达式查询集合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&lt;param name="selector"&gt;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lamada表达式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&lt;/param&gt;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&lt;returns&gt;&lt;/returns&gt;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IQueryable&lt;TEntity&gt; Find(Expression&lt;Func&lt;TEntity,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&gt;&gt;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express);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根据lamada表达式删除对象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&lt;param name="selector"&gt;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lamada表达式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&lt;/param&gt;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&lt;returns&gt;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操作影响的行数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&lt;/returns&gt;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Delete(Expression&lt;Func&lt;TEntity,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&gt;&gt;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express);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//..........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40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40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3、对于涉及到多张表需要连表的查询机制，我们还是通过神奇的Linq来解决。例如我们有一个通过角色取角色对应的菜单的接口需求。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在菜单的仓储接口里面：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　　 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菜单这个聚合根的仓储接口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IMenuRepository:IRepository&lt;TB_MENU&gt;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IQueryable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&lt;TB_MENU&gt;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GetMenusByRole(TB_ROLE oRole);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对应仓储实现：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　　[Export(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(IMenuRepository))]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MenuRepository:EFBaseRepository&lt;TB_MENU&gt;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,IMenuRepository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IQueryable&lt;TB_MENU&gt;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GetMenusByRole(TB_ROLE oRole)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queryrole = UnitOfWork.context.Set&lt;TB_ROLE&gt;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().AsQueryable();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querymenu = UnitOfWork.context.Set&lt;TB_MENU&gt;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().AsQueryable();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querymenurole = UnitOfWork.context.Set&lt;TB_MENUROLE&gt;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().AsQueryable();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lstres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from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querymenu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from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menurole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querymenurole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from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role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queryrole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menu.MENU_ID == menurole.MENU_ID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   menurole.ROLE_ID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== role.ROLE_ID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   role.ROLE_ID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==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oRole.ROLE_ID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menu;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lstres;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40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D0E77"/>
    <w:rsid w:val="232948F4"/>
    <w:rsid w:val="23B467ED"/>
    <w:rsid w:val="7F1053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