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分区</w:t>
      </w:r>
    </w:p>
    <w:p>
      <w:pPr>
        <w:pStyle w:val="3"/>
        <w:keepNext w:val="0"/>
        <w:keepLines w:val="0"/>
        <w:widowControl/>
        <w:suppressLineNumbers w:val="0"/>
      </w:pPr>
      <w:r>
        <w:t>扩展方法 Take() 和 Skip() 等的分区操作可以用于分页。</w:t>
      </w:r>
    </w:p>
    <w:p>
      <w:pPr>
        <w:pStyle w:val="3"/>
        <w:keepNext w:val="0"/>
        <w:keepLines w:val="0"/>
        <w:widowControl/>
        <w:suppressLineNumbers w:val="0"/>
      </w:pPr>
      <w:r>
        <w:t>Skip() 忽略根据页面大小和实际页数计算出的项数。</w:t>
      </w:r>
    </w:p>
    <w:p>
      <w:pPr>
        <w:pStyle w:val="3"/>
        <w:keepNext w:val="0"/>
        <w:keepLines w:val="0"/>
        <w:widowControl/>
        <w:suppressLineNumbers w:val="0"/>
      </w:pPr>
      <w:r>
        <w:t>Take() 根据页面大小提取一定数量的项。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7B6DBD"/>
    <w:rsid w:val="31EE1588"/>
    <w:rsid w:val="5F4248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