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4"/>
          <w:lang w:val="en-US" w:eastAsia="zh-CN" w:bidi="ar-SA"/>
        </w:rPr>
        <w:t>LinearLayout 和接下来介绍的几种布局均属于 ViewGroup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4"/>
          <w:lang w:val="en-US" w:eastAsia="zh-CN" w:bidi="ar-SA"/>
        </w:rPr>
        <w:t>如下线性布局的常用属性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339840" cy="392239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weight(权重)属性详解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&lt;LinearLayout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="@+id/LinearLayout1"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="one"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="#98FB98"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="two"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="#FFFF00"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="3"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="three"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="#FF00FF"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&lt;/LinearLayout&gt;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我们LinearLayout 的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="horizontal"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为水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平方向，而其子元素的layout_weight为1，2，3，所以子元素的宽度比为1：2：3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注：子元素的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（跟随内容宽度）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219575" cy="3429000"/>
            <wp:effectExtent l="0" t="0" r="190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D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2020-10-22T03:46:16Z</dcterms:created>
  <dc:creator>13736</dc:creator>
  <cp:lastModifiedBy>加载中...</cp:lastModifiedBy>
  <dcterms:modified xsi:type="dcterms:W3CDTF">2020-10-22T04:27:50Z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