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示例1，后台执行 </w:t>
      </w:r>
      <w:r>
        <w:rPr>
          <w:rFonts w:hint="default"/>
          <w:lang w:val="en-US" w:eastAsia="zh-CN"/>
        </w:rPr>
        <w:t>/root/runoob.sh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/root/runoob.sh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示例2，后台执行 标准错误，标准输出重定向到</w:t>
      </w:r>
      <w:r>
        <w:rPr>
          <w:rFonts w:hint="default"/>
          <w:lang w:val="en-US" w:eastAsia="zh-CN"/>
        </w:rPr>
        <w:t>nohup.out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/root/runoob.sh &gt; nohup.out 2&gt;&amp;1 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2021-04-11T09:55:44Z</dcterms:created>
  <dc:creator>13736</dc:creator>
  <cp:lastModifiedBy>加载中...</cp:lastModifiedBy>
  <dcterms:modified xsi:type="dcterms:W3CDTF">2021-04-11T09:58:47Z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