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模型中包含属性意味着 EF 拥有该属性的元数据，并将尝试从数据库读取值或者向数据库写入值。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约定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"https://docs.microsoft.com/zh-cn/ef/core/modeling/included-properties" \l "conventions"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按照约定，模型所含的那些公共属性都拥有一个 getter 和一个 setter。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数据注释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"https://docs.microsoft.com/zh-cn/ef/core/modeling/included-properties" \l "data-annotations"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您可以使用数据注释方式来从模型中排除某个属性。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class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</w:rPr>
        <w:t>Blog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int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BlogId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get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set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string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Url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get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set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</w:rPr>
        <w:t>NotMapped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DateTime LoadedFromDatabase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get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set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Fluent API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"https://docs.microsoft.com/zh-cn/ef/core/modeling/included-properties" \l "fluent-api"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您也可以用Fluent API 从模型中排除某个属性。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class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</w:rPr>
        <w:t>MyContext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</w:rPr>
        <w:t>DbContext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DbSet&lt;Blog&gt; Blogs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get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set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protected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</w:rPr>
        <w:t>OnModelCreating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(ModelBuilder modelBuilder)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modelBuilder.Entity&lt;Blog&gt;()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    .Ignore(b =&gt; b.LoadedFromDatabase);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class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</w:rPr>
        <w:t>Blog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int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BlogId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get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set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string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Url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get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set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DateTime LoadedFromDatabase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get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set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59E04BB1"/>
    <w:rsid w:val="75B70ED3"/>
    <w:rsid w:val="7AE111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