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级联删除的条件：必须将关联的实体加载到内存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关系与删除行为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对与必须关系和可选关系，级联删除有不同的默认行为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必须关系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如果实体B必须依赖与实体A，那么删除实体A也将删除实体B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可选关系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如果实体B可依赖与实体A，那么删除实体A，B到A的引用设为NULL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68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2019-12-02T04:04:31Z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