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路由定义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将某个url映射到某个处理方法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传统路由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传统路由也被叫做全局路由，如下：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UseMvc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"{controller}/{action=Index}/{id?}"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在UseMvc中我们通过routes.MapRoute注册了一个传统路由，当url满足该模板是，会调用我们的控制器方法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属性路由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属性路由应用特性进行定义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"api/[controller]"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SampleDataController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"[action]"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WeatherForecast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WeatherForecasts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路由参数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我们可以指定url中包含路由参数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"[action]/{id}"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WeatherForecast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WeatherForecasts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 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可选参数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"[action]/{id?}"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参数约束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我们可以约束参数的类型等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"[action]/{id:int}"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WeatherForecast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WeatherForecasts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 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约束表</w:t>
      </w:r>
    </w:p>
    <w:tbl>
      <w:tblPr>
        <w:tblStyle w:val="2"/>
        <w:tblW w:w="106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6"/>
        <w:gridCol w:w="4291"/>
        <w:gridCol w:w="5176"/>
        <w:gridCol w:w="1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  <w:tblHeader/>
        </w:trPr>
        <w:tc>
          <w:tcPr>
            <w:tcW w:w="0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FFFFFF"/>
            <w:noWrap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eastAsia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约束</w:t>
            </w:r>
          </w:p>
        </w:tc>
        <w:tc>
          <w:tcPr>
            <w:tcW w:w="0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FFFFFF"/>
            <w:noWrap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示例</w:t>
            </w:r>
          </w:p>
        </w:tc>
        <w:tc>
          <w:tcPr>
            <w:tcW w:w="0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FFFFFF"/>
            <w:noWrap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匹配项示例</w:t>
            </w:r>
          </w:p>
        </w:tc>
        <w:tc>
          <w:tcPr>
            <w:tcW w:w="0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FFFFFF"/>
            <w:noWrap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lang w:val="en-US" w:eastAsia="zh-CN"/>
              </w:rPr>
              <w:t>int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{id:int}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123456789、-123456789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匹配任何整数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bool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{active:bool}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true、FALSE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匹配 true或 false（区分大小写）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datetime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{dob:datetime}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2016-12-31、2016-12-31 7:32pm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匹配有效的 DateTime 值（位于固定区域性中 - 查看警告）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decimal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{price:decimal}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49.99、-1,000.01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匹配有效的 decimal值（位于固定区域性中 - 查看警告）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double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{weight:double}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1.234、-1,001.01e8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匹配有效的 double值（位于固定区域性中 - 查看警告）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float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{weight:float}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1.234、-1,001.01e8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匹配有效的 float 值（位于固定区域性中 - 查看警告）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guid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{id:guid}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CD2C1638-1638-72D5-1638-DEADBEEF1638、{CD2C1638-1638-72D5-1638-DEADBEEF1638}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匹配有效的 Guid 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long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{ticks:long}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123456789、-123456789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匹配有效的 long 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minlength(value)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{username:minlength(4)}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Rick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字符串必须至少为 4 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maxlength(value)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{filename:maxlength(8)}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Richard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字符串不得超过 8 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length(length)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{filename:length(12)}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somefile.txt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字符串必须正好为 12 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length(min,max)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{filename:length(8,16)}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somefile.txt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字符串必须至少为 8 个字符，且不得超过 16 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min(value)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{age:min(18)}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19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整数值必须至少为 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max(value)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{age:max(120)}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91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整数值不得超过 120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range(min,max)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{age:range(18,120)}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91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整数值必须至少为 18，且不得超过 120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alpha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{name:alpha}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Rick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字符串必须由一个或多个字母字符（a-z，区分大小写）组成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regex(expression)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{ssn:regex(^\\d{{3}}-\\d{{2}}-\\d{{4}}$)}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123-45-6789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字符串必须匹配正则表达式（参见有关定义正则表达式的提示）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required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{name:required}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Rick</w:t>
            </w:r>
          </w:p>
        </w:tc>
        <w:tc>
          <w:tcPr>
            <w:tcW w:w="0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spacing w:line="240" w:lineRule="auto"/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lang w:val="en-US" w:eastAsia="zh-CN"/>
              </w:rPr>
              <w:t>用于强制在 URL 生成过程中存在非参数值</w:t>
            </w:r>
          </w:p>
        </w:tc>
      </w:tr>
    </w:tbl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自定义路由约束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以IntRouteConstraint（内置的路由约束）为例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UseMvc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id 可有可无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"{controller}/{action}/{id?}"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如果url中有id（如：/Home/Index/1）,则 id 必须是Int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constraints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IntRouteConstraint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自定义路由必须实现IRouteConstraint接口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IntRouteConstraint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IRouteConstraint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IParameterPolicy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是否满足约束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约束的key，也就是 constraints : new { id = new IntRouteConstraint () } 中的 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RouteValueDictionary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解析到的路由的值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RouteDirection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routeDirection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TryGetValue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判断 value 是否是 int 类型，是返回 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A34D2A"/>
    <w:rsid w:val="5AB4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2019-11-19T07:58:49Z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