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 2.0支持程序集动态加载，.net core 3.0支持程序集动态卸载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程序集动态加载卸载使用AssemblyLoadContext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每个程序都具有一个默认的AssemblyLoadContext，AssemblyLoadContext包含以加载的程序集集合，当AssemblyLoadContext被卸载时，对应的程序集也会在下一次GC回收时被回收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要创建新的AssemblyLoadContext需要实现AssemblyLoadContext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ActuatorAssemblyLoadContext</w:t>
      </w:r>
      <w:r>
        <w:rPr>
          <w:rFonts w:hint="eastAsia" w:ascii="新宋体" w:hAnsi="新宋体" w:eastAsia="新宋体"/>
          <w:color w:val="000000"/>
          <w:sz w:val="19"/>
        </w:rPr>
        <w:t xml:space="preserve"> : AssemblyLoadContext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ActuatorAssemblyLoadContext</w:t>
      </w:r>
      <w:r>
        <w:rPr>
          <w:rFonts w:hint="eastAsia" w:ascii="新宋体" w:hAnsi="新宋体" w:eastAsia="新宋体"/>
          <w:color w:val="000000"/>
          <w:sz w:val="19"/>
        </w:rPr>
        <w:t xml:space="preserve">()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(isCollectible: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使用new创建一个AssemblyLoadContext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 xml:space="preserve">assemblyLoadContext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ActuatorAssemblyLoadContext();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使用Load系列方法加载程序集，方法返回程序集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>actuatorsAssembly =assemblyLoadContext.LoadFromStream(ms);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使用Unload方法卸载AssemblyLoadContext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assemblyLoadContext.Unload();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211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2020-05-11T05:15:45Z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