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bookmarkStart w:id="0" w:name="_GoBack"/>
      <w:bookmarkEnd w:id="0"/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IdentityServer4 术语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IdentityServer4的规范、文档和对象模型使用了一些你应该了解的术语。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653405" cy="3028315"/>
            <wp:effectExtent l="0" t="0" r="444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身份认证服务器（IdentityServer）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IdentityServer是一个OpenID Connect提供程序，它实现了OpenID Connect 和 OAuth 2.0 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在有些文档中，它（IdentityServer）可能会被叫做安全令牌服务器（security token service）、身份提供者（identity provider）、授权服务器（authorization server）、 标识提供方（(IP-STS，什么是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instrText xml:space="preserve"> HYPERLINK "https://msdn.microsoft.com/zh-cn/library/ee748489.aspx" \o "IP-STS" </w:instrTex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t>IP-STS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）等等。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但是它们都是一样的，都是向客户端发送安全令牌（security token），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用户（User）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用户是使用注册的客户端访问资源的人。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客户端（Client）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客户端是从IdentityServer请求令牌的软件，用于验证用户（请求身份令牌）或访问资源（请求访问令牌）。 必须首先向IdentityServer注册客户端才能请求令牌。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客户端可以是Web应用程序，本地移动或桌面应用程序，SPA，服务器进程等。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资源（Resources）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资源是您想要使用IdentityServer保护的资源 ， 您的用户的身份数据或API。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每个资源都有一个唯一的名称 ，客户端使用这个名称来指定他们想要访问的资源。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身份令牌（Identity Token）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身份令牌表示身份验证过程的结果。 它最低限度地标识了某个用户，还包含了用户的认证时间和认证方式。 它可以包含额外身份数据。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</w:rPr>
      </w:pPr>
      <w:r>
        <w:rPr>
          <w:rFonts w:hint="default" w:ascii="Arial" w:hAnsi="Arial" w:eastAsia="Arial" w:cs="Arial"/>
          <w:b/>
          <w:i w:val="0"/>
          <w:caps w:val="0"/>
          <w:color w:val="3194D0"/>
          <w:spacing w:val="21"/>
          <w:sz w:val="30"/>
          <w:szCs w:val="30"/>
          <w:shd w:val="clear" w:color="auto" w:fill="FFFFFF"/>
        </w:rPr>
        <w:t>访问令牌（Access Token）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访问令牌允许访问API资源。 客户端请求访问令牌并将其转发到API。 访问令牌包含有关客户端和用户的信息（如果存在）。 API使用该信息来授权访问其数据。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3AFF"/>
    <w:rsid w:val="0DD17AFC"/>
    <w:rsid w:val="2C770183"/>
    <w:rsid w:val="36721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