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一、创建自定义AuthorizationPolicy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我们先来演示通过自定义AuthorizationPolicy以提供当前安全主体的方式。我们通过自定义AuthorizationPolicy实现这样的授权策略：如果用户名为Foo（假设为管理员），我们创建一个包含“Administrators”角色的安全主体；而对于其他的用户，提供的安全主体的角色列表中仅仅包括“Guest”。我们为该自定义AuthorizationPolicy起名为SimpleAdministrators，SimpleAdministrators整个定义如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SimpleAuthorizationPolicy : IAuthorizationPolicy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SimpleAuthorizationPolicy()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.Id = Guid.NewGuid().ToString();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Evaluate(EvaluationContext evaluationContext,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state)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userName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.Empty;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(ClaimSet claimSet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evaluationContext.ClaimSets)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(Claim claim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claimSet.FindClaims(ClaimTypes.Name, Rights.PossessProperty))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    userName =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)claim.Resource;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(userName.Contains(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'\\'))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userName = userName.Split('\\')[1];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evaluationContext.Properties[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"Principal"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] = GetPrincipal(userName);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IPrincipal GetPrincipal(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userName)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GenericIdentity identity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GenericIdentity(userName);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.Compare(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FFFFF"/>
        </w:rPr>
        <w:t>"Foo"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, userName,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) == 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30: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31: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GenericPrincipal(identity,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[] { 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FFFFF"/>
        </w:rPr>
        <w:t>"Administrators"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});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32: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33: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GenericPrincipal(identity,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[] {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FFFFF"/>
        </w:rPr>
        <w:t>"Guest"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});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34: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35: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36: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ClaimSet Issuer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37: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38: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get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ClaimSet.System;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39: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40: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Id { get;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set;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41: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个安全主体的提供实现在Evaluate方法中，而其中唯一值得一提的是当前认证用户名的获取。在客户端被成功认证之后，被认证的用户实际上也通过某个声明（Claim）保存下来。该声明的类型为“http://schemas.xmlsoap.org/ws/2005/05/identity/claims/name”，可以通过ClaimTypes的静态属性Name得到。而该Claim对象的Resource就是用户名。在得到当前认证用户名之后，相应的GenericPrincipal对象被创建出来，并被置于EvaluationContext的属性列表中。并且该属性对应的Key为“Principal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二、创建自定义ServiceAuthorizationManager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接下来我们来通过自定义ServiceAuthorizationManager来实现与上面完全一样的功能，而已授权策略很简单，我们照例将该自定义ServiceAuthorizationManager起名为SimpleServiceAuthorizationManager。以下是SimpleServiceAuthorizationManager的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SimpleServiceAuthorizationManager : ServiceAuthorizationManager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CheckAccessCore(OperationContext operationContext)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userName = operationContext.ServiceSecurityContext.PrimaryIdentity.Name;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(userName.Contains(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'\\'))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userName = userName.Split('\\')[1];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operationContext.ServiceSecurityContext.AuthorizationContext.Properties[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"Principal"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] = GetPrincipal(userName);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IPrincipal GetPrincipal(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userName)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GenericIdentity identity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GenericIdentity(userName);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.Compare(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"Foo"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, userName,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) == 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GenericPrincipal(identity,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[] { 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"Administrators"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GenericPrincipal(identity,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[] { 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"Guest"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和自定义AuthorizationPolicy不同的是，认证用户的获取在这里变得更加容易，我们直接可以通过当前ServiceSecurityContext的PrimaryIdentity获取。需要提醒一下的是，如果你在自定义AuthorizationPolicy的Evaluate方法中调用该属性，会出现一个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"http://msdn2.microsoft.com/xcewth9z.aspx" \o "StackOverflowException Class"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StackOverflowException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异常，因为该属性的调用本身又会触发Evaluate方法的调用。最后被创建的GnericPrincipal被保存在当前AuthorizationContext的属性列表中，属性的Key依然是“Principal”。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三、通过自定义AuthorizationPolicy实现授权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现在我们常见一个实例程序来应用我们创建的自定义AuthorizationPolicy，看看它是否能够起到我们期望的授权的作用。我们依然沿用我们再熟悉不过的计算服务的例子，解决方案依然按照如下图所示的结构来设计。整个解决方式包括四个项目：Contracts、Services、Hosting和Client。对于这样的结构我们已经了解得够多了，在这里没有必要再赘言叙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191125" cy="1800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实例解决方案的整个结构建立之后，我们分别在Contracts和Services项目中定义服务契约接口和服务类型。下面是契约接口ICalculator和服务CalculatorService的定义。而在CalculatorService类的Add方法中应用了PrincipalPermissionAttribute特性，并将Roles属性设置成了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Adminstrators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，意味着该服务操作只能被管理员用户组中的用户调用。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[ServiceContract(Namespace = 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FFFFF"/>
        </w:rPr>
        <w:t>"http://www.artech.com/"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ICalculator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[OperationContract]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x,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CalculatorService : ICalculator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[PrincipalPermission(SecurityAction.Demand, Role = 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"Administrators"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x,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y)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x + 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现在通过Hosting这个控制台程序对上面创建的服务进行寄宿。下面给出的是整个寄宿程序的配置，从中我们可以看出：应用到CalculatorService的服务行为列表中包含了PrincipalPermissionMode为Custom的ServiceAuthorizationBehavior。而我们定义的SimpleAuthorizationPolicy类型被配置到了&lt;authorizationPolicies&gt;列表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xml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="1.0"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?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system.serviceModel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service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="Artech.WcfServices.Services.CalculatorService"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behaviorConfiguration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="useCustomAuthorization"&gt;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endpoint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address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="http://127.0.0.1/calculatorservice"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binding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="ws2007HttpBinding"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contract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="Artech.WcfServices.Contracts.ICalculator"/&gt;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service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behavior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="useCustomAuthorization"&gt;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serviceAuthorization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principalPermissionMode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="Custom"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authorizationPolicies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add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policyType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="Artech.WcfServices.Hosting.SimpleAuthorizationPolicy, Artech.WcfServices.Hosting"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authorizationPolicies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serviceAuthorization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serviceDebug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includeExceptionDetailInFaults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="true"/&gt;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behavior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serviceBehaviors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system.serviceModel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由于我们使用了WSHttpBinding，而它在默认的情况下采用Windows客户端凭证，为此我们需要创建两个Windows帐号Foo和Bar，密码被设定为Password。在如下所示的客户端代码中，我们分别以Foo和Bar的名义调用了服务。最后将服务能够成功调用的结果打印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Program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[] 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ChannelFactory&lt;ICalculator&gt; channelFactory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ChannelFactory&lt;ICalculator&gt;(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FFFFF"/>
        </w:rPr>
        <w:t>"calculatorService"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NetworkCredential credential = channelFactory.Credentials.Windows.ClientCredential;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credential.UserName = 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FFFFF"/>
        </w:rPr>
        <w:t>"Foo"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credential.Password = 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"Password"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ICalculator calculator = channelFactory.CreateChannel();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Invoke(calculator);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channelFactory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ChannelFactory&lt;ICalculator&gt;(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"calculatorService"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credential = channelFactory.Credentials.Windows.ClientCredential;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credential.UserName = 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"Bar"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credential.Password = 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FFFFF"/>
        </w:rPr>
        <w:t>"Password"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calculator = channelFactory.CreateChannel();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Invoke(calculator);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Console.Read();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Invoke(ICalculator calculator)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try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calculator.Add(1, 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"服务调用成功..."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(Exception ex)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30: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4F4F4"/>
        </w:rPr>
        <w:t>"服务调用失败..."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31: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32: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33: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从下面的结果来看，只有在用户名为Foo才能成功调用服务，而Bar由于权限不足会导致服务调用失败。这充分证明了通过自定义AuthorizationPolicy能够正确地起到授权的作用。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服务调用成功...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服务调用失败...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四、通过自定义ServiceAuthorizationManager实现授权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证明我们自定义的AuthorizationPolicy确实能够按照我们定义的策略进行授权之后，我们来试试我们自定义的ServiceAuthorizationManager能否同样完成授权的使命。为此我们唯一需要做的就是改变一下服务寄宿程序的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xml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="1.0"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?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system.serviceModel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service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="Artech.WcfServices.Services.CalculatorService"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behaviorConfiguration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="useCustomAuthorization"&gt;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endpoint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address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="http://127.0.0.1/calculatorservice"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binding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="ws2007HttpBinding"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contract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="Artech.WcfServices.Contracts.ICalculator"/&gt;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services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serviceBehaviors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behavior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="useCustomAuthorization"&gt;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serviceAuthorization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principalPermissionMode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="Custom"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serviceAuthorizationManagerType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 xml:space="preserve">="Artech.WcfServices.Hosting.SimpleServiceAuthorizationManager,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                  Artech.WcfServices.Hosting"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4F4F4"/>
        </w:rPr>
        <w:t>&lt;!--&lt;authorizationPolicies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&lt;add policyType="Artech.WcfServices.Hosting.SimpleAuthorizationPolicy, Artech.WcfServices.Hosting" 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&lt;/authorizationPolicies&gt;--&gt;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serviceAuthorization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serviceDebug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includeExceptionDetailInFaults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="true"/&gt;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behavior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24: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system.serviceModel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25: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上面所示的采用自定义ServiceAuthorizationManager实现授权的配置。我们将之前添加的AuthorizationPolicy注释掉，然后通过ServiceAuthorizationBehavior配置节的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serviceAuthorizationManagerType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属性设置成我们自定义的SimpleServiceAuthorizationManager的类型。运行程序后，你会得到和上面一样的输出结果。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2018-03-22T09:59:44Z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