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"https://msdn.microsoft.com/zh-cn/library/system.web.routing.routecollection(v=vs.110).aspx"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2603"/>
        <w:gridCol w:w="546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60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5461"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"https://msdn.microsoft.com/zh-cn/library/system.web.routing.routecollection.appendtrailingslash(v=vs.110).aspx"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AppendTrailingSlash</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获取或设置一个值，该值指示是否将在虚拟路径进行规范化时添加尾随斜杠。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5"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"https://msdn.microsoft.com/zh-cn/library/ms132433(v=vs.110).aspx"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Count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获取中实际包含的元素数目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Collection&lt;T&gt;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。（继承自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Collection&lt;T&gt;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3"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"https://msdn.microsoft.com/zh-cn/library/ms132434(v=vs.110).aspx"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Item[Int32]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获取或设置指定索引处的元素。（继承自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Collection&lt;T&gt;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6"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"https://msdn.microsoft.com/zh-cn/library/cc680171(v=vs.110).aspx"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Item[String]</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获取具有指定名称的集合中的路由。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2" name="图片 5" descr="System_CAPS_prot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System_CAPS_prot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"https://msdn.microsoft.com/zh-cn/library/ms132435(v=vs.110).aspx"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Items</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"https://msdn.microsoft.com/zh-cn/library/5y536ey6(v=vs.110).aspx"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IList&lt;T&gt;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包装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Collection&lt;T&gt;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。（继承自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Collection&lt;T&gt;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"https://msdn.microsoft.com/zh-cn/library/system.web.routing.routecollection.lowercaseurls(v=vs.110).aspx"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LowercaseUrls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获取或设置一个值，该值指示虚拟路径进行规范化时是否将 Url 转换为小写。</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7"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60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"https://msdn.microsoft.com/zh-cn/library/system.web.routing.routecollection.routeexistingfiles(v=vs.110).aspx"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RouteExistingFiles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46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获取或设置一个值，它指示 ASP.NET 路由是否应处理与现有文件匹配的 URL。</w:t>
            </w:r>
          </w:p>
        </w:tc>
      </w:tr>
    </w:tbl>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"https://msdn.microsoft.com/zh-cn/library/system.web.routing.routecollection(v=vs.110).aspx"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5"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60"/>
        <w:gridCol w:w="6204"/>
        <w:gridCol w:w="198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6204"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1981"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0" name="图片 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"https://msdn.microsoft.com/zh-cn/library/ms132404(v=vs.110).aspx"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Add(T)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将对象添加到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的结尾处。（继承自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1" name="图片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"https://msdn.microsoft.com/zh-cn/library/cc680150(v=vs.110).aspx"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Add(String, RouteBase)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向 RouteCollection 对象末尾添加路由，并为该路由分配指定的名称。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9" name="图片 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"https://msdn.microsoft.com/zh-cn/library/ms132405(v=vs.110).aspx"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Clear()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中移除所有元素。（继承自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18" name="图片 11"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"https://msdn.microsoft.com/zh-cn/library/system.web.routing.routecollection.clearitems(v=vs.110).aspx"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ClearItems()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 RouteCollection 对象中移除所有元素。（覆盖</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"https://msdn.microsoft.com/zh-cn/library/ms132406(v=vs.110).aspx"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Collection&lt;T&gt;.ClearItems()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3" name="图片 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"https://msdn.microsoft.com/zh-cn/library/ms132407(v=vs.110).aspx"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Contains(T)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确定某元素是否在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中。（继承自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2" name="图片 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"https://msdn.microsoft.com/zh-cn/library/ms132408(v=vs.110).aspx"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CopyTo(T[], Int32)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从目标数组的指定索引处开始将整个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复制到兼容的一维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"https://msdn.microsoft.com/zh-cn/library/system.array(v=vs.110).aspx"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Array</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5" name="图片 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24" name="图片 15"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Finalize()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6"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"https://msdn.microsoft.com/zh-cn/library/ms132409(v=vs.110).aspx"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GetEnumerator()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返回循环访问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的枚举数。（继承自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8" name="图片 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9" name="图片 1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"https://msdn.microsoft.com/zh-cn/library/system.web.routing.routecollection.getreadlock(v=vs.110).aspx"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GetReadLock()</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提供一个对象，用于管理在集合中检索对象时的线程安全性。</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bookmarkStart w:id="0" w:name="_GoBack" w:colFirst="0" w:colLast="2"/>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7" name="图片 1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"https://msdn.microsoft.com/zh-cn/library/system.web.routing.routecollection.getroutedata(v=vs.110).aspx"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GetRouteData(HttpContextBase)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返回有关集合中与指定值匹配的路由的信息。</w:t>
            </w:r>
          </w:p>
        </w:tc>
      </w:tr>
      <w:bookmarkEnd w:id="0"/>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0" name="图片 2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1" name="图片 2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"https://msdn.microsoft.com/zh-cn/library/cc679806(v=vs.110).aspx"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GetVirtualPath(RequestContext, RouteValueDictionary)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如果具有指定的上下文和参数值，则返回与路由关联的 URL 路径的相关信息。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2" name="图片 2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"https://msdn.microsoft.com/zh-cn/library/cc680260(v=vs.110).aspx"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GetVirtualPath(RequestContext, String, RouteValueDictionary)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如果具有指定的上下文、路由名称和参数值，则返回与命名路由关联的 URL 路径的相关信息。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 name="图片 2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"https://msdn.microsoft.com/zh-cn/library/system.web.routing.routecollection.getwritelock(v=vs.110).aspx"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GetWriteLock()</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提供一个对象，用于管理在集合中添加或删除元素时的线程安全性。</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 name="图片 2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"https://msdn.microsoft.com/zh-cn/library/dd784609(v=vs.110).aspx"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Ignore(String)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定义不会签匹配路由的 URL 模式。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 name="图片 2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"https://msdn.microsoft.com/zh-cn/library/dd992982(v=vs.110).aspx"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Ignore(String, Object)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定义不应该在如果请求 URL 满足指定的约束检查有匹配路由的 URL 模式。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 name="图片 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"https://msdn.microsoft.com/zh-cn/library/ms132410(v=vs.110).aspx"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IndexOf(T)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搜索指定的对象，并返回整个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中第一个匹配项的从零开始的索引。（继承自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 name="图片 2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"https://msdn.microsoft.com/zh-cn/library/ms132411(v=vs.110).aspx"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Insert(Int32, T)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将元素插入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的指定索引处。（继承自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13" name="图片 28"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"https://msdn.microsoft.com/zh-cn/library/system.web.routing.routecollection.insertitem(v=vs.110).aspx"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InsertItem(Int32, RouteBase)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将指定路由插入到 RouteCollection 对象中的指定索引处。（覆盖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"https://msdn.microsoft.com/zh-cn/library/ms132412(v=vs.110).aspx"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Collection&lt;T&gt;.InsertItem(Int32, T)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5"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"https://msdn.microsoft.com/zh-cn/library/dd992955(v=vs.110).aspx"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MapPageRoute(String, String, String)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提供了一种定义 Web 窗体应用程序的路由。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6"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"https://msdn.microsoft.com/zh-cn/library/dd784541(v=vs.110).aspx"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MapPageRoute(String, String, String, Boolean)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提供了一种定义 Web 窗体应用程序的路由。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7"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"https://msdn.microsoft.com/zh-cn/library/dd784594(v=vs.110).aspx"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MapPageRoute(String, String, String, Boolean, RouteValueDictionary)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提供了一种定义 Web 窗体应用程序的路由。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 name="图片 3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"https://msdn.microsoft.com/zh-cn/library/dd992978(v=vs.110).aspx"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MapPageRoute(String, String, String, Boolean, RouteValueDictionary, RouteValueDictionary)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提供了一种定义 Web 窗体应用程序的路由。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7"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"https://msdn.microsoft.com/zh-cn/library/dd992946(v=vs.110).aspx"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MapPageRoute(String, String, String, Boolean, RouteValueDictionary, RouteValueDictionary, RouteValueDictionary)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提供了一种定义 Web 窗体应用程序的路由。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39" name="图片 34"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MemberwiseClone()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创建当前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的浅表副本。（继承自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6"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"https://msdn.microsoft.com/zh-cn/library/ms132413(v=vs.110).aspx"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Remove(T)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中移除特定对象的第一个匹配项。（继承自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8"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"https://msdn.microsoft.com/zh-cn/library/ms132414(v=vs.110).aspx"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RemoveAt(Int32)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移除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的指定索引处的元素。（继承自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"https://msdn.microsoft.com/zh-cn/library/ms132397(v=vs.110).aspx"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35" name="图片 3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"https://msdn.microsoft.com/zh-cn/library/system.web.routing.routecollection.removeitem(v=vs.110).aspx"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RemoveItem(Int32)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 RouteCollection 对象的指定索引处删除路由。（覆盖</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"https://msdn.microsoft.com/zh-cn/library/ms132415(v=vs.110).aspx"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Collection&lt;T&gt;.RemoveItem(Int32)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33" name="图片 38"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"https://msdn.microsoft.com/zh-cn/library/system.web.routing.routecollection.setitem(v=vs.110).aspx"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SetItem(Int32, RouteBase)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替换指定索引处的路由。（覆盖</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"https://msdn.microsoft.com/zh-cn/library/ms132416(v=vs.110).aspx"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Collection&lt;T&gt;.SetItem(Int32, T)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4"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20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198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CD13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2017-08-31T03:49:18Z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