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stl:no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失败模板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>&lt;stl:no&gt;&lt;/stl:no&gt;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通过 stl:no 标签在模板中显示失败模板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1371"/>
        <w:gridCol w:w="2466"/>
        <w:gridCol w:w="2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inputName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第一个提交表单名称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在线留言提交表单名称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isLoadValues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是否载入URL参数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载入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24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不载入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1"/>
        <w:gridCol w:w="5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stl:template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提交内容表单，可以省略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stl:yes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提交成功显示模板，可以省略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stl:no</w:t>
            </w:r>
          </w:p>
        </w:tc>
        <w:tc>
          <w:tcPr>
            <w:tcW w:w="563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提交失败显示模板，可以省略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&lt;stl:input&gt; 用于实现前台提交内容（反馈、留言等）提交表单功能，在系统"功能管理"—"提交表单"—"提交表单管理"中管理字段及显示样式。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属性 isLoadValues 用于判断是否将浏览器地址栏中的参数值载入并显示在表单中，系统会自动判断 Id 属性与参数名称相同的字段。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如果希望在模板中自定义显示样式，可以将自定义提交表单代码放到 &lt;stl:inputTemplate &gt; 子标签中。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&lt;stl:input&gt;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{stl:input}</w:t>
      </w:r>
      <w:r>
        <w:rPr>
          <w:bdr w:val="none" w:color="auto" w:sz="0" w:space="0"/>
        </w:rPr>
        <w:t xml:space="preserve">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hover10"/>
    <w:basedOn w:val="6"/>
    <w:uiPriority w:val="0"/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