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原文地址：https://docs.abp.io/zh-Hans/abp/latest/Domain-Driven-Design-Implementation-Guide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ORM 独立原则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领域层和应用层应该与数据库提供程序 / ORM无关.领域层和应用层仅依赖仓储接口,并且仓储接口不依赖特定的ORM对象.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原因如下: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未来领域层或应用层的基础设施会发生改变,例如,需要支持另外一种数据库类型,因此需要保持领域层或应用层的基础设施是独立的.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将基础设施的实现隐藏在仓储中,使得领域层或应用层更专注于业务逻辑代码.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hd w:val="clear" w:color="FFFFFF" w:fill="D9D9D9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shd w:val="clear" w:color="FFFFFF" w:fill="D9D9D9"/>
        </w:rPr>
        <w:t>如果你认为你永远都不会离开 EF Core,那么我们认为你可以忽略这一原则.假如你在设计实体关系时使用了EF Core,你甚至可以在应用层引用EF Core Nuget包,并直接使用异步的LINQ扩展方法,例如 ToListAsync()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</w:rPr>
        <w:t>展现层技术无关原则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展现层技术(UI框架)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hd w:val="clear" w:color="auto" w:fill="auto"/>
        </w:rPr>
        <w:t>现代应用程序中最多变的部分之一.领域层和应用层应该对展现层所采用的技术或框架一无所知.使用ABP启动模板就非常容易实现此原则.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在某些情况下,你可能需要在应用层和展现层中写重复的逻辑,例如,参数验证和授权检查.展现层检查出于用户体验,应用层或领域层检查出于数据安全性和数据完整性.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</w:rPr>
        <w:t>关注状态的变化,而不是报表/查询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DDD关注领域对象的变化和相互作用,如何创建或修改一个具有数据完整性,有效性,符合业务规则的实体对象.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DDD忽略领域对象的数据展示,这并不意味着它们并不重要,如果应用程序没有精美的看板和报表,谁会愿意用呢?但是报表是另外一个讨论话题,你可以通过使用SQL Server报表功能或ElasticSearch来提供数据展示,又或者使用优化后的SQL查询语句,创建数据库索引或存储过程.唯一的原则是不要将这些内容混入领域的业务逻辑中.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</w:rPr>
        <w:t>序列化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一个聚合(包含聚合根及子集合)可以被序列化或反序列化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</w:rPr>
        <w:t>聚合间只通过ID相互引用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聚合应该只引用其它聚合的ID,也就是说,不允许定义导航属性关联至其它聚合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drawing>
          <wp:inline distT="0" distB="0" distL="114300" distR="114300">
            <wp:extent cx="5267325" cy="394398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因此,若要获取Issue关联的 GitRepository对象,需要使用Issue的RepositoryId在数据库中进行一次查询.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</w:rPr>
        <w:t>保持聚合尽量的小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保持聚合简单而小巧是一个比较好的做法.因为聚合的读取与保存是一个整体,当处理较大对象时会出现性能问题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如下，UserRole这个值对象是分给User聚合还是Role聚合呢？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69865" cy="176720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一个角色可能被给成千上万个用户,当从数据库中加载一个角色时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会关联加载数千个用户对象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这里会有 严重的性能问题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，</w:t>
      </w:r>
    </w:p>
    <w:p>
      <w:pPr>
        <w:rPr>
          <w:rFonts w:hint="eastAsia" w:ascii="微软雅黑" w:hAnsi="微软雅黑" w:eastAsia="微软雅黑" w:cs="微软雅黑"/>
          <w:color w:val="FF000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auto"/>
          <w:lang w:val="en-US" w:eastAsia="zh-CN"/>
        </w:rPr>
        <w:t>注：聚合的子集合的数量控制在100-150个.如果集合数量超过150个,考虑将子对象改成聚合根.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聚合根 / 实体的主键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聚合根通常具有唯一的标识符ID (主键: PK).我们建议使用 Guid作为聚合根的主键类型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（永远不要使用 Guid.NewGuid() 创建Guid，因为他生成的Id是不连续的，在你插入的时候会存在性能问题）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聚合中的实体(非聚合根)可以使用联合主键.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聚合根 / 实体的构造函数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以下是构造函数的编写建议: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将实体的必填属性作为构造函数参数,这样可以创建一个有效(符合规则)的实体.另外,将非必填属性作为构造函数的可选参数.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参数必须检查有效性.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所有子集合对象必须被初始化.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using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System;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using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System.Collections.Generic;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using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System.Collections.ObjectModel;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using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Volo.Abp;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using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Volo.Abp.Domain.Entities;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namespace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IssueTracking.Issues{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class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AggregateRoot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RepositoryId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Title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Text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?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AssignedUserId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bool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IsClosed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IssueCloseReason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?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CloseReason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191919"/>
        </w:rPr>
        <w:t>//enum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ICollection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IssueLabel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Labels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repositoryId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title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text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?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assignedUserId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base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RepositoryId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repositoryId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Title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Check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NotNullOrWhiteSpace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nameof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Text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text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AssignedUserId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assignedUserId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Labels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new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Collection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IssueLabel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private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191919"/>
        </w:rPr>
        <w:t>/* for deserialization &amp; ORMs */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}}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实体属性访问器和方法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上面的示例中,我们在构造函数中对 Title 进行了非空检查.但是开发人员可以再次对Title进行赋值.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我们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建议: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如果某个属性具有业务逻辑,则将该属性的setter改为私有.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定义公开的方法来修改属性.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业务逻辑与实体异常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对实体进行验证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或执行业务逻辑时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，如果出现逻辑错误（如用户的密码不符合规范啊，用户的地址填写错误啊），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通常需要抛出异常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实体中业务逻辑依赖外部服务时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有时候,复杂的业务逻辑会查询数据库或使用依赖注入中的其它服务,这该怎么办?注意:实体是无法注入服务的.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实现这种业务逻辑有两种方式: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将依赖的服务以方法的参数,传递到实体的业务逻辑方法中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（注：会使实体变的复杂）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定义一个领域服务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（推荐）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方式1示例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class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AggregateRoot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191919"/>
        </w:rPr>
        <w:t>//...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?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AssignedUserId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private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async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Task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AssignToAsync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AppUser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IUserIssueService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userIssueService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var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openIssueCount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await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userIssueService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GetOpenIssueCountAsync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if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openIssueCount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191919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throw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new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BusinessException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191919"/>
        </w:rPr>
        <w:t>"IssueTracking:ConcurrentOpenIssueLimit"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AssignedUserId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void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CleanAssignment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AssignedUserId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仓储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仓储是一个类集合的接口,它通常被领域层或应用层调用,负责访问持久化系统(数据库),读取写入业务对象(聚合).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仓储的原则: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在领域层中定义仓储接口,因为仓储会被领域层或应用层调用,在基础设施层中实现(EntityFrameworkCore 项目).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仓储中</w:t>
      </w:r>
      <w:r>
        <w:rPr>
          <w:rFonts w:hint="default" w:ascii="微软雅黑" w:hAnsi="微软雅黑" w:eastAsia="微软雅黑" w:cs="微软雅黑"/>
          <w:color w:val="FF0000"/>
          <w:shd w:val="clear" w:color="auto" w:fill="auto"/>
          <w:lang w:val="en-US" w:eastAsia="zh-CN"/>
        </w:rPr>
        <w:t>不要写任何业务逻辑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.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仓储接口不依赖 数据库提供程序 / ORM.例如,不要在仓储中返回 DbSet 类型,因为 DbSet是EF Core中的对象.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仅为聚合根定义仓储,非聚合根对象不要提供仓储,因为子集合可以通过聚合根来进行持久化.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规约（规则，规格）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规约是一种非活动问题的业务规则，也就是判断实体是否满足某个规则，当出现这些业务规则时，我们应该使用规约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如下是一套规则示例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为关闭的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没有关联到任何人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创建时间大于30天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最近30天没有评论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如下我们可以新建一个规约类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class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InActiveIssueSpecification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Specification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override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ToExpression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var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daysAgo30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DateTime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Now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Subtract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TimeSpan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FromDays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191919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191919"/>
        </w:rPr>
        <w:t>//Open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!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IsClosed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&amp;&amp;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191919"/>
        </w:rPr>
        <w:t>//Assigned to nobody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    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AssignedUserId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null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&amp;&amp;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191919"/>
        </w:rPr>
        <w:t>//Created 30+ days ago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    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CreationTime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daysAgo30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&amp;&amp;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191919"/>
        </w:rPr>
        <w:t>//No comment or the last comment was 30+ days ago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LastCommentTime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==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null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||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LastCommentTime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daysAgo30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在实体中我们可以使用规约判断实体是否满足该规约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class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AggregateRoot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Guid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&gt;,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IHasCreationTime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191919"/>
        </w:rPr>
        <w:t>//...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bool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IsInActive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new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InActiveIssueSpecification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IsSatisfiedBy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42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right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在仓库中我们可以使用该规约过滤实体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public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async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Task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GetIssuesAsync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ISpecification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Issue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spec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9CD6"/>
          <w:spacing w:val="0"/>
          <w:sz w:val="21"/>
          <w:szCs w:val="21"/>
          <w:bdr w:val="none" w:color="auto" w:sz="0" w:space="0"/>
          <w:shd w:val="clear" w:fill="191919"/>
        </w:rPr>
        <w:t>await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DbSet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spec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ToExpression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69D85"/>
          <w:spacing w:val="0"/>
          <w:sz w:val="21"/>
          <w:szCs w:val="21"/>
          <w:bdr w:val="none" w:color="auto" w:sz="0" w:space="0"/>
          <w:shd w:val="clear" w:fill="191919"/>
        </w:rPr>
        <w:t>ToListAsync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91919"/>
        <w:wordWrap/>
        <w:spacing w:before="180" w:beforeAutospacing="0" w:after="30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191919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领域服务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领域服务主要来实现本领域的逻辑: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依赖服务和仓储.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需要使用多个聚合.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领域服务和领域对象一起使用.领域服务可以获取并返回实体,值对象等,它们不返回DTO.DTO属于应用层的一部分.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  <w:t>我们建议使用 Manager 后缀来命名领域服务.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应用服务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应用服务是实现用例的无状态服务.应用服务通常获取并返回DTO.应用服务被展现层所使用,应用服务调用领域对象(实体,仓储等)来实现用例.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应用服务的通用原则: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实现特定用例的应用程序逻辑,不要在应用服务内实现核心领域的逻辑.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应用服务的方法不要返回实体.始终只返回DTO.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DTO通用原则和最佳实践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DTO应该是可被序列化的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不应该包含任何业务逻辑.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切勿继承或引用实体.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输入DTO(应用服务方法的参数)与 输出DTO (应用服务方法的返回对象)具有不同的作用,因此,它们应该区别对待.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不要重用输入DTO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为每个用例(应用服务的方法)单独定义一个专属的输入DTO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不要在输入DTO中定义不使用的属性.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输出DTO最佳实践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保持数量较少的输出DTO,尽可能重用输出DTO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输出DTO可以包含比用例需要的属性更多的属性.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针对 Create 和 Update 方法,返回实体的DTO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注：这里本人具有不同的观点，和输入Dto一样，每个输出方法都具有一个输出Dto，这个Dto只能在该方法使用，而这个Dto可以引用其他通用的Dto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对象映射到对象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仅在实体=&gt;输出DTO的时候使用自动映射.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不要在输入DTO=&gt;Entity的时候使用自动映射.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应用服务示例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ApplicationService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IIssueAppService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_userRepository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IssueAppService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_userRepository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IssueCreationDto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创建发布实体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GuidGenerator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调用领域层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AssignedUserId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_userRepository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AssignedUserId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调用领域层方法，因为这里涉及2个聚合，所以调用的是领域服务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AssignToAsync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更新聚合的改变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返回Dto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ObjectMapper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  <w:t>在创建实体时执行领域规则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如果在创建实体时需要执行领域逻辑，那么创建过程应该放在领域层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发布聚合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AggregateRoot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将访问性改为 internal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领域服务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DomainService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IssueManager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要做标题是否已存在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_issueRepository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AnyAsync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BusinessException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"IssueTracking:IssueWithSameTitleExists"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Issue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GuidGenerator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领域逻辑示例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如下代码示例我们的领域逻辑代码划分是否正确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DomainService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_organizationRepository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IAuthorizationService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_authorizationService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IAuthorizationService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authorizationService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_organizationRepository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_authorizationService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authorizationService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_organizationRepository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AnyAsync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BusinessException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"IssueTracking:DuplicateOrganizationName"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_authorizationService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"OrganizationCreationPermission"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$"Creating organization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 by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_currentUser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"systemadmin@issuetracking.com"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 Organization"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 new organization created with name: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我们来逐个检查CreateAsync方法中的代码,讨论是否应该在领域服务中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正确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首先检查有无重复的组织名称,并抛出异常.这与核心领域规则有关,因为我们绝对不允许重复的名称.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错误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领域服务不应该执行授权检查,授权应该在应用层处理.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错误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它记录了日志,包括当前用户的UserName.领域服务不应该依赖当前用户,即便系统中没有用户,领域服务也应可用.当前用户应该是与展现层或应用层有关的概念.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错误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它发送了有关新组织被创建的邮件,我们认为这也是特定用例的业务逻辑,你可能像在不同的用例中创建不同的邮件,又或者某些情况无需发送邮件.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应用服务逻辑示例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如下代码示例我们的应用服务代码划分是否正确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ApplicationService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IPaymentService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_paymentService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OrganizationAppService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IPaymentService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paymentService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_paymentService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paymentService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UnitOfWork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"OrganizationCreationPermission"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CreateOrganizationDto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_paymentService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ChargeAsync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GetOrganizationPrice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_organizationManager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"systemadmin@issuetracking.com"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 Organization"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 new organization created with name: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!!!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GetOrganizationPrice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//Gets from somewhere else...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我们来逐个检查CreateAsync方法中的代码,讨论是否应该在应用服务中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正确:应用服务的方法应该是一个工作单元(事务).ABP的工作单元系统可以使得此工作自动进行(甚至无需[UnitOfWork]注解).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正确: 授权应该在应用层处理.这里通过使用[Authorize]来完成.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正确:调用付款(基础设施服务)为此操作收取费用(创建组织是我们业务中的付费服务).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正确:应用服务负责将变更的数据保存到数据库.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正确:我们可以将邮件作为通知发送给管理员.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错误:请勿从应用服务中返回实体,应该返回DTO.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  <w:t>讨论:为什么不将支付逻辑移到领域服务中?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  <w:t>后台作业系统导入,集成,同步组织而无需支付费用.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  <w:t>如你所见,付款不是创建有效组织的必要操作.它是特定的应用服务逻辑.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4CB7F"/>
    <w:multiLevelType w:val="singleLevel"/>
    <w:tmpl w:val="86D4CB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CE6DAA"/>
    <w:multiLevelType w:val="singleLevel"/>
    <w:tmpl w:val="8ECE6D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94CD10"/>
    <w:multiLevelType w:val="singleLevel"/>
    <w:tmpl w:val="B994CD1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EF54499"/>
    <w:multiLevelType w:val="singleLevel"/>
    <w:tmpl w:val="CEF544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CCADA4"/>
    <w:multiLevelType w:val="singleLevel"/>
    <w:tmpl w:val="D4CCAD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8D14239"/>
    <w:multiLevelType w:val="singleLevel"/>
    <w:tmpl w:val="F8D1423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D383999"/>
    <w:multiLevelType w:val="singleLevel"/>
    <w:tmpl w:val="3D3839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8BD865A"/>
    <w:multiLevelType w:val="singleLevel"/>
    <w:tmpl w:val="48BD86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FDF11C"/>
    <w:multiLevelType w:val="singleLevel"/>
    <w:tmpl w:val="5AFDF1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F5FCA5F"/>
    <w:multiLevelType w:val="singleLevel"/>
    <w:tmpl w:val="5F5FCA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130CBC7"/>
    <w:multiLevelType w:val="singleLevel"/>
    <w:tmpl w:val="6130CB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74FF497"/>
    <w:multiLevelType w:val="singleLevel"/>
    <w:tmpl w:val="674FF4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D184D47"/>
    <w:multiLevelType w:val="singleLevel"/>
    <w:tmpl w:val="6D184D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E0C77A1"/>
    <w:multiLevelType w:val="singleLevel"/>
    <w:tmpl w:val="6E0C77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39FC4FB"/>
    <w:multiLevelType w:val="singleLevel"/>
    <w:tmpl w:val="739FC4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14"/>
  </w:num>
  <w:num w:numId="10">
    <w:abstractNumId w:val="13"/>
  </w:num>
  <w:num w:numId="11">
    <w:abstractNumId w:val="11"/>
  </w:num>
  <w:num w:numId="12">
    <w:abstractNumId w:val="10"/>
  </w:num>
  <w:num w:numId="13">
    <w:abstractNumId w:val="4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2EA7"/>
    <w:rsid w:val="06AE15DA"/>
    <w:rsid w:val="10080A60"/>
    <w:rsid w:val="15F82373"/>
    <w:rsid w:val="26883D6D"/>
    <w:rsid w:val="2B0C2C15"/>
    <w:rsid w:val="2B156263"/>
    <w:rsid w:val="338D2767"/>
    <w:rsid w:val="357D66DC"/>
    <w:rsid w:val="363D2A20"/>
    <w:rsid w:val="372C6F3D"/>
    <w:rsid w:val="39FE4CF4"/>
    <w:rsid w:val="3A124338"/>
    <w:rsid w:val="40F836C6"/>
    <w:rsid w:val="4686393E"/>
    <w:rsid w:val="47025BF8"/>
    <w:rsid w:val="490F6967"/>
    <w:rsid w:val="4BD51A6E"/>
    <w:rsid w:val="53AE0D0A"/>
    <w:rsid w:val="601754B5"/>
    <w:rsid w:val="63BF7E02"/>
    <w:rsid w:val="659B0BD8"/>
    <w:rsid w:val="6F6C6C5E"/>
    <w:rsid w:val="7DF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2021-06-06T08:13:00Z</dcterms:created>
  <dc:creator>CHENPC</dc:creator>
  <cp:lastModifiedBy>CHENPC</cp:lastModifiedBy>
  <dcterms:modified xsi:type="dcterms:W3CDTF">2021-06-06T12:42:09Z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