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AFDA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市面上AI通识类对标产品</w:t>
      </w:r>
    </w:p>
    <w:p w14:paraId="4F8E5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核心产品划分逻辑：行业内AI通识学习产品可明确分为两大赛道，形态、交互模式、产品定位差异极大。第一类为</w:t>
      </w:r>
      <w:r>
        <w:rPr>
          <w:rFonts w:ascii="Arial" w:hAnsi="Arial" w:eastAsia="等线" w:cs="Arial"/>
          <w:b/>
          <w:sz w:val="22"/>
        </w:rPr>
        <w:t>录播单向学习模式</w:t>
      </w:r>
      <w:r>
        <w:rPr>
          <w:rFonts w:ascii="Arial" w:hAnsi="Arial" w:eastAsia="等线" w:cs="Arial"/>
          <w:sz w:val="22"/>
        </w:rPr>
        <w:t>，是市面主流成熟C端产品；第二类为</w:t>
      </w:r>
      <w:r>
        <w:rPr>
          <w:rFonts w:ascii="Arial" w:hAnsi="Arial" w:eastAsia="等线" w:cs="Arial"/>
          <w:b/>
          <w:sz w:val="22"/>
        </w:rPr>
        <w:t>交互探究式学习模式</w:t>
      </w:r>
      <w:r>
        <w:rPr>
          <w:rFonts w:ascii="Arial" w:hAnsi="Arial" w:eastAsia="等线" w:cs="Arial"/>
          <w:sz w:val="22"/>
        </w:rPr>
        <w:t>，国内完整落地的C端产品极少，多数为B端校园方案、海外产品、高校技术原型，也是本项目核心对标、差异化发力的赛道。</w:t>
      </w:r>
    </w:p>
    <w:p w14:paraId="6C8F317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一、第一类：学而思模式（录播视频为主、弱交互、单向学习）—— 直接竞品</w:t>
      </w:r>
      <w:bookmarkEnd w:id="0"/>
      <w:bookmarkStart w:id="8" w:name="_GoBack"/>
      <w:bookmarkEnd w:id="8"/>
    </w:p>
    <w:p w14:paraId="440ED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类产品是目前面向中小学生AI通识、科技素养教育的主流商业化产品，核心特征为「预制录播课程+静态习题巩固」，学生被动接收知识，无实时对话引导、无沉浸式探究、无完整项目实践闭环，交互性和思辨性薄弱。</w:t>
      </w:r>
    </w:p>
    <w:p w14:paraId="5757E87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学而思学习平板 - AI通识模块</w:t>
      </w:r>
      <w:bookmarkEnd w:id="1"/>
    </w:p>
    <w:p w14:paraId="20612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产品形态</w:t>
      </w:r>
      <w:r>
        <w:rPr>
          <w:rFonts w:ascii="Arial" w:hAnsi="Arial" w:eastAsia="等线" w:cs="Arial"/>
          <w:sz w:val="22"/>
        </w:rPr>
        <w:t>：依托学而思硬件平板搭载的内置专项课程模块，覆盖小学、初中AI基础通识内容，课程体系系统化、阶梯化，适配国内学情。</w:t>
      </w:r>
    </w:p>
    <w:p w14:paraId="59931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核心学习形式</w:t>
      </w:r>
      <w:r>
        <w:rPr>
          <w:rFonts w:ascii="Arial" w:hAnsi="Arial" w:eastAsia="等线" w:cs="Arial"/>
          <w:sz w:val="22"/>
        </w:rPr>
        <w:t>：全程高清录播视频授课，搭配课后固定选择题、判断题、简单实操习题；课程节奏固定，学生跟随视频进度被动学习。</w:t>
      </w:r>
    </w:p>
    <w:p w14:paraId="70407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核心优势</w:t>
      </w:r>
    </w:p>
    <w:p w14:paraId="589AAA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教研体系成熟：依托学而思多年K12教研积累，课程知识点连贯、难度分层合理，贴合国内中小学素养教育要求；</w:t>
      </w:r>
    </w:p>
    <w:p w14:paraId="536FB1F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内容完整闭环：从基础概念、知识点讲解到课后习题巩固、学情复盘，基础学习流程完善；</w:t>
      </w:r>
    </w:p>
    <w:p w14:paraId="77B8E00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落地性强：纯国内本土化设计，适配学生认知习惯、无使用门槛，家长认可度高。</w:t>
      </w:r>
    </w:p>
    <w:p w14:paraId="56B11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核心短板（本项目核心差异化点）</w:t>
      </w:r>
    </w:p>
    <w:p w14:paraId="473396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单向灌输式学习：全程无师生、无AI实时对话交互，学生只能被动观看，无法主动提问、深度思辨；</w:t>
      </w:r>
    </w:p>
    <w:p w14:paraId="2AC4EFF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无个性化引导：课程进度、内容统一，无法根据学生疑问、薄弱点定制学习节奏；</w:t>
      </w:r>
    </w:p>
    <w:p w14:paraId="4E504CB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缺少实践闭环：仅停留在知识点学习和简单习题层面，无AI项目探究、实操创作、成果复盘的完整实践流程；</w:t>
      </w:r>
    </w:p>
    <w:p w14:paraId="1A8D480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无启发式教学：没有苏格拉底式提问、分层引导，无法锻炼学生自主思考、问题探究能力。</w:t>
      </w:r>
    </w:p>
    <w:p w14:paraId="412F67F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二、第二类：交互探究式模式（强对话、思辨学习、项目闭环）—— 间接对标+空白赛道</w:t>
      </w:r>
      <w:bookmarkEnd w:id="2"/>
    </w:p>
    <w:p w14:paraId="2A9E1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这类产品为本项目核心对标形态，核心特征为「AI实时对话启发、沉浸式思辨探究、自主项目实践」，主打主动学习、深度思考、实操落地。目前</w:t>
      </w:r>
      <w:r>
        <w:rPr>
          <w:rFonts w:ascii="Arial" w:hAnsi="Arial" w:eastAsia="等线" w:cs="Arial"/>
          <w:b/>
          <w:sz w:val="22"/>
        </w:rPr>
        <w:t>国内无成熟完整的C端消费级产品</w:t>
      </w:r>
      <w:r>
        <w:rPr>
          <w:rFonts w:ascii="Arial" w:hAnsi="Arial" w:eastAsia="等线" w:cs="Arial"/>
          <w:sz w:val="22"/>
        </w:rPr>
        <w:t>，现有产品均存在场景受限、内容缺失、无法商用落地等问题，是当前市场空白赛道。</w:t>
      </w:r>
    </w:p>
    <w:p w14:paraId="26E3438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Khanmigo（可汗学院AI学习工具）</w:t>
      </w:r>
      <w:bookmarkEnd w:id="3"/>
    </w:p>
    <w:p w14:paraId="6FC49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产品形态</w:t>
      </w:r>
      <w:r>
        <w:rPr>
          <w:rFonts w:ascii="Arial" w:hAnsi="Arial" w:eastAsia="等线" w:cs="Arial"/>
          <w:sz w:val="22"/>
        </w:rPr>
        <w:t>：海外顶尖AI思辨式学习产品，主打全学科启发式对话教学，包含AI通识、数理思维、科创素养等多个模块。</w:t>
      </w:r>
    </w:p>
    <w:p w14:paraId="5D174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核心学习形式</w:t>
      </w:r>
      <w:r>
        <w:rPr>
          <w:rFonts w:ascii="Arial" w:hAnsi="Arial" w:eastAsia="等线" w:cs="Arial"/>
          <w:sz w:val="22"/>
        </w:rPr>
        <w:t>：采用</w:t>
      </w:r>
      <w:r>
        <w:rPr>
          <w:rFonts w:ascii="Arial" w:hAnsi="Arial" w:eastAsia="等线" w:cs="Arial"/>
          <w:b/>
          <w:sz w:val="22"/>
        </w:rPr>
        <w:t>苏格拉底对话式交互</w:t>
      </w:r>
      <w:r>
        <w:rPr>
          <w:rFonts w:ascii="Arial" w:hAnsi="Arial" w:eastAsia="等线" w:cs="Arial"/>
          <w:sz w:val="22"/>
        </w:rPr>
        <w:t>，摒弃录播授课模式，通过AI层层提问、引导思考、纠错答疑，让学生自主推导知识点，完成思辨学习。</w:t>
      </w:r>
    </w:p>
    <w:p w14:paraId="3D955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核心优势</w:t>
      </w:r>
    </w:p>
    <w:p w14:paraId="42C0356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交互模式领先：真正实现启发式教学，不直接灌输答案，通过对话引导学生自主思考、拆解问题；</w:t>
      </w:r>
    </w:p>
    <w:p w14:paraId="2816DCD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思辨性极强：支持开放性问题探讨、多角度思维拓展，适配AI通识素养的探究式学习需求；</w:t>
      </w:r>
    </w:p>
    <w:p w14:paraId="62B719B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学习逻辑先进：贴合新课标素养教育理念，注重思维能力而非单纯知识点记忆。</w:t>
      </w:r>
    </w:p>
    <w:p w14:paraId="742C8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核心短板</w:t>
      </w:r>
    </w:p>
    <w:p w14:paraId="212EF54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无成套AI通识课程：仅有对话交互工具，无系统化、阶梯化的AI通识专属课程体系，知识点零散，不成体系；</w:t>
      </w:r>
    </w:p>
    <w:p w14:paraId="5F78409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国内使用受限：海外服务器、网络限制，国内学生无法直接稳定使用，适配性极差；</w:t>
      </w:r>
    </w:p>
    <w:p w14:paraId="6CDCD76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无本土化适配：课程案例、场景、认知逻辑贴合海外学情，不符合国内中小学教学大纲和学生认知习惯；</w:t>
      </w:r>
    </w:p>
    <w:p w14:paraId="42E1390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无落地实践任务：侧重思辨对话，缺少适配国内学生的AI实操项目、成果落地闭环。</w:t>
      </w:r>
    </w:p>
    <w:p w14:paraId="73CFEDA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浙大通识学习助手（浙江大学校内产品）</w:t>
      </w:r>
      <w:bookmarkEnd w:id="4"/>
    </w:p>
    <w:p w14:paraId="7A82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产品形态</w:t>
      </w:r>
      <w:r>
        <w:rPr>
          <w:rFonts w:ascii="Arial" w:hAnsi="Arial" w:eastAsia="等线" w:cs="Arial"/>
          <w:sz w:val="22"/>
        </w:rPr>
        <w:t>：高校自研的校内专属AI通识学习工具，属于</w:t>
      </w:r>
      <w:r>
        <w:rPr>
          <w:rFonts w:ascii="Arial" w:hAnsi="Arial" w:eastAsia="等线" w:cs="Arial"/>
          <w:b/>
          <w:sz w:val="22"/>
        </w:rPr>
        <w:t>B端校内方案</w:t>
      </w:r>
      <w:r>
        <w:rPr>
          <w:rFonts w:ascii="Arial" w:hAnsi="Arial" w:eastAsia="等线" w:cs="Arial"/>
          <w:sz w:val="22"/>
        </w:rPr>
        <w:t>，仅面向浙江大学及合作校内师生开放，无对外C端版本。</w:t>
      </w:r>
    </w:p>
    <w:p w14:paraId="742D2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核心学习形式</w:t>
      </w:r>
      <w:r>
        <w:rPr>
          <w:rFonts w:ascii="Arial" w:hAnsi="Arial" w:eastAsia="等线" w:cs="Arial"/>
          <w:sz w:val="22"/>
        </w:rPr>
        <w:t>：以AI智能问答助教为核心，支持学生针对AI通识知识点自主提问、AI答疑解惑、知识点梳理，具备基础启发式对话能力。</w:t>
      </w:r>
    </w:p>
    <w:p w14:paraId="0C3D11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核心优势</w:t>
      </w:r>
    </w:p>
    <w:p w14:paraId="65CC0B3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本土化学术性强：依托浙大人工智能学科资源，知识点专业、严谨，贴合国内AI通识教育学术标准；</w:t>
      </w:r>
    </w:p>
    <w:p w14:paraId="6B12287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轻量化交互：支持实时问答、针对性答疑，相比录播产品，具备主动交互学习属性；</w:t>
      </w:r>
    </w:p>
    <w:p w14:paraId="1FEEECB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适配校内教学：对接高校通识课程体系，可辅助课堂教学、课后巩固。</w:t>
      </w:r>
    </w:p>
    <w:p w14:paraId="1BC74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核心短板</w:t>
      </w:r>
    </w:p>
    <w:p w14:paraId="062FB70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场景极度受限：仅限校内师生使用，封闭运营，无公开商用、C端落地能力；</w:t>
      </w:r>
    </w:p>
    <w:p w14:paraId="51B8F5F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无完整任务流：仅有问答答疑功能，缺少「知识点学习-对话探究-项目实操-成果复盘」的完整学习闭环；</w:t>
      </w:r>
    </w:p>
    <w:p w14:paraId="44CB37E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受众单一：针对高校学生研发，难度、场景不适配中小学生AI通识启蒙需求。</w:t>
      </w:r>
    </w:p>
    <w:p w14:paraId="0C23EBD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OpenMAIC 清华开源项目（多Agent虚拟课堂）</w:t>
      </w:r>
      <w:bookmarkEnd w:id="5"/>
    </w:p>
    <w:p w14:paraId="06A85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产品形态</w:t>
      </w:r>
      <w:r>
        <w:rPr>
          <w:rFonts w:ascii="Arial" w:hAnsi="Arial" w:eastAsia="等线" w:cs="Arial"/>
          <w:sz w:val="22"/>
        </w:rPr>
        <w:t>：清华大学开源的AI教育技术框架，属于</w:t>
      </w:r>
      <w:r>
        <w:rPr>
          <w:rFonts w:ascii="Arial" w:hAnsi="Arial" w:eastAsia="等线" w:cs="Arial"/>
          <w:b/>
          <w:sz w:val="22"/>
        </w:rPr>
        <w:t>技术原型产品</w:t>
      </w:r>
      <w:r>
        <w:rPr>
          <w:rFonts w:ascii="Arial" w:hAnsi="Arial" w:eastAsia="等线" w:cs="Arial"/>
          <w:sz w:val="22"/>
        </w:rPr>
        <w:t>，无商业化、无课程内容、无用户运营体系。</w:t>
      </w:r>
    </w:p>
    <w:p w14:paraId="65B9D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核心学习形式</w:t>
      </w:r>
      <w:r>
        <w:rPr>
          <w:rFonts w:ascii="Arial" w:hAnsi="Arial" w:eastAsia="等线" w:cs="Arial"/>
          <w:sz w:val="22"/>
        </w:rPr>
        <w:t>：基于多Agent智能体搭建虚拟课堂场景，实现多人互动、课堂问答、小组探究、智能助教联动等先进课堂交互机制。</w:t>
      </w:r>
    </w:p>
    <w:p w14:paraId="44D2F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核心优势</w:t>
      </w:r>
    </w:p>
    <w:p w14:paraId="36B9799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技术架构领先：多Agent互动模式、虚拟课堂交互机制，远超市面普通录播、单轮问答产品；</w:t>
      </w:r>
    </w:p>
    <w:p w14:paraId="630129C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互动性极强：支持沉浸式课堂探究、协作学习，完美适配交互探究式AI通识学习的核心需求；</w:t>
      </w:r>
    </w:p>
    <w:p w14:paraId="3B46834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开源可迭代：技术框架开放，可二次开发、定制化改造。</w:t>
      </w:r>
    </w:p>
    <w:p w14:paraId="39AE4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核心短板</w:t>
      </w:r>
    </w:p>
    <w:p w14:paraId="27FE1AE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纯技术框架无课程：仅有底层交互技术，无任何AI通识课件、知识点、实操任务、教学体系；</w:t>
      </w:r>
    </w:p>
    <w:p w14:paraId="18965E5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无落地产品形态：仅为高校科研原型，无UI界面、无用户体系、无学习流程，无法直接给学生使用；</w:t>
      </w:r>
    </w:p>
    <w:p w14:paraId="1578BC5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无商业化能力：仅限学术研究、技术探索，不具备C端产品的落地、运营、教学服务能力。</w:t>
      </w:r>
    </w:p>
    <w:p w14:paraId="0B90711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三、核心竞品对标总结（PPT核心结论）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A9BE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66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CD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代表产品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F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AB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4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核心痛点（市场空白）</w:t>
            </w:r>
          </w:p>
        </w:tc>
      </w:tr>
      <w:tr w14:paraId="3B49D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3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录播单向模式（成熟竞品）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8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学而思AI通识模块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29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录播授课+课后习题，被动单向学习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39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教研成熟、体系完整、本土化适配、落地性强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2A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无实时交互、无启发思辨、无项目实践闭环，学习效率低、思维锻炼不足</w:t>
            </w:r>
          </w:p>
        </w:tc>
      </w:tr>
      <w:tr w14:paraId="445BE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4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交互探究模式（空白赛道）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A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Khanmigo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0A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苏格拉底启发式对话交互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D3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思辨交互领先，主打主动探究学习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2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无成套AI通识课程，国内无法使用，无本土化实践场景</w:t>
            </w:r>
          </w:p>
        </w:tc>
      </w:tr>
      <w:tr w14:paraId="45450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8E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BD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浙大通识学习助手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E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校内AI问答助教，轻量化对话答疑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A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专业度高、本土化适配，具备基础交互能力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C7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仅限校内使用，无完整学习、实践任务流，不面向C端</w:t>
            </w:r>
          </w:p>
        </w:tc>
      </w:tr>
      <w:tr w14:paraId="42E517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FF5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CC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OpenMAIC清华开源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D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多Agent虚拟课堂，沉浸式课堂互动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7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交互技术、课堂互动机制行业领先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6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纯技术框架，无课程内容、无产品形态、无法商用落地</w:t>
            </w:r>
          </w:p>
        </w:tc>
      </w:tr>
    </w:tbl>
    <w:p w14:paraId="2FCFC3D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四、本项目核心差异化定位</w:t>
      </w:r>
      <w:bookmarkEnd w:id="7"/>
    </w:p>
    <w:p w14:paraId="573D9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市面上</w:t>
      </w:r>
      <w:r>
        <w:rPr>
          <w:rFonts w:ascii="Arial" w:hAnsi="Arial" w:eastAsia="等线" w:cs="Arial"/>
          <w:b/>
          <w:sz w:val="22"/>
        </w:rPr>
        <w:t>没有任何一款C端产品</w:t>
      </w:r>
      <w:r>
        <w:rPr>
          <w:rFonts w:ascii="Arial" w:hAnsi="Arial" w:eastAsia="等线" w:cs="Arial"/>
          <w:sz w:val="22"/>
        </w:rPr>
        <w:t>，同时兼具「</w:t>
      </w:r>
      <w:r>
        <w:rPr>
          <w:rFonts w:ascii="Arial" w:hAnsi="Arial" w:eastAsia="等线" w:cs="Arial"/>
          <w:b/>
          <w:sz w:val="22"/>
        </w:rPr>
        <w:t>国内本土化成套AI通识课程+实时启发式对话交互+完整项目实践闭环+面向中小学生C端落地</w:t>
      </w:r>
      <w:r>
        <w:rPr>
          <w:rFonts w:ascii="Arial" w:hAnsi="Arial" w:eastAsia="等线" w:cs="Arial"/>
          <w:sz w:val="22"/>
        </w:rPr>
        <w:t>」四大核心能力。本项目精准填补市场空白：规避学而思弱交互、被动学习的弊端，解决海外产品水土不服、无体系课程的问题，弥补高校产品无法C端落地、无实践闭环的缺陷，是国内稀缺的完整版交互探究式AI通识C端产品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BDF3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BD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7A5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2550</Words>
  <Characters>2638</Characters>
  <TotalTime>2</TotalTime>
  <ScaleCrop>false</ScaleCrop>
  <LinksUpToDate>false</LinksUpToDate>
  <CharactersWithSpaces>2649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2026-09-17T05:31:00Z</dcterms:created>
  <dc:creator>Apache POI</dc:creator>
  <cp:lastModifiedBy>樱桃丸子</cp:lastModifiedBy>
  <dcterms:modified xsi:type="dcterms:W3CDTF">2026-09-17T05:34:21Z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{"Label":"1","ContentProducer":"001191110102MACQD9K64010000","ProduceID":"7686372730179357628","ReservedCode1":"","ContentPropagator":"","PropagateID":"","ReservedCode2":""}</vt:lpwstr>
  </property>
  <property fmtid="{D5CDD505-2E9C-101B-9397-08002B2CF9AE}" pid="3" name="KSOTemplateDocerSaveRecord">
    <vt:lpwstr>eyJoZGlkIjoiZTM5NzM1MDI4OGNjODczM2Y3MWU1ZmRhYjBmMjA2MDkiLCJ1c2VySWQiOiI3NTk5OTIzMjgifQ==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BC8659BA72284D0197BB36689118A624_12</vt:lpwstr>
  </property>
</Properties>
</file>