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Arial" w:cs="Arial" w:eastAsia="Arial" w:hAnsi="Arial"/>
          <w:b/>
          <w:bCs/>
          <w:color w:val="1A1A1A"/>
          <w:sz w:val="56"/>
          <w:szCs w:val="56"/>
        </w:rPr>
        <w:t xml:space="preserve">Draw The Chart</w:t>
      </w:r>
    </w:p>
    <w:p>
      <w:pPr>
        <w:pBdr>
          <w:bottom w:val="single" w:color="2B5797" w:sz="6" w:space="8"/>
        </w:pBdr>
        <w:spacing w:after="100"/>
        <w:jc w:val="center"/>
      </w:pPr>
      <w:r>
        <w:rPr>
          <w:rFonts w:ascii="Arial" w:cs="Arial" w:eastAsia="Arial" w:hAnsi="Arial"/>
          <w:color w:val="2B5797"/>
          <w:sz w:val="26"/>
          <w:szCs w:val="26"/>
        </w:rPr>
        <w:t xml:space="preserve">A Prediction Game Where You Draw the Future Price Path</w:t>
      </w:r>
    </w:p>
    <w:p>
      <w:pPr>
        <w:spacing w:after="400"/>
      </w:pPr>
    </w:p>
    <w:p>
      <w:pPr>
        <w:spacing w:after="80"/>
        <w:jc w:val="center"/>
      </w:pPr>
      <w:r>
        <w:rPr>
          <w:rFonts w:ascii="Arial" w:cs="Arial" w:eastAsia="Arial" w:hAnsi="Arial"/>
          <w:color w:val="666666"/>
          <w:sz w:val="22"/>
          <w:szCs w:val="22"/>
        </w:rPr>
        <w:t xml:space="preserve">Concept Whitepaper v0.2</w:t>
      </w:r>
    </w:p>
    <w:p>
      <w:pPr>
        <w:spacing w:after="80"/>
        <w:jc w:val="center"/>
      </w:pPr>
      <w:r>
        <w:rPr>
          <w:rFonts w:ascii="Arial" w:cs="Arial" w:eastAsia="Arial" w:hAnsi="Arial"/>
          <w:color w:val="666666"/>
          <w:sz w:val="22"/>
          <w:szCs w:val="22"/>
        </w:rPr>
        <w:t xml:space="preserve">February 2026</w:t>
      </w:r>
    </w:p>
    <w:p>
      <w:pPr>
        <w:spacing w:after="800"/>
      </w:pPr>
    </w:p>
    <w:p>
      <w:pPr>
        <w:spacing w:after="80"/>
        <w:jc w:val="center"/>
      </w:pPr>
      <w:r>
        <w:rPr>
          <w:rFonts w:ascii="Arial" w:cs="Arial" w:eastAsia="Arial" w:hAnsi="Arial"/>
          <w:i/>
          <w:iCs/>
          <w:color w:val="666666"/>
          <w:sz w:val="18"/>
          <w:szCs w:val="18"/>
        </w:rPr>
        <w:t xml:space="preserve">This document describes a product and mechanism design concept.</w:t>
      </w:r>
    </w:p>
    <w:p>
      <w:pPr>
        <w:spacing w:after="80"/>
        <w:jc w:val="center"/>
      </w:pPr>
      <w:r>
        <w:rPr>
          <w:rFonts w:ascii="Arial" w:cs="Arial" w:eastAsia="Arial" w:hAnsi="Arial"/>
          <w:i/>
          <w:iCs/>
          <w:color w:val="666666"/>
          <w:sz w:val="18"/>
          <w:szCs w:val="18"/>
        </w:rPr>
        <w:t xml:space="preserve">It is not financial, legal, or investment advice.</w:t>
      </w:r>
    </w:p>
    <w:p>
      <w:r>
        <w:br w:type="page"/>
      </w:r>
    </w:p>
    <w:p>
      <w:pPr>
        <w:pStyle w:val="Heading1"/>
        <w:spacing w:before="360" w:after="200"/>
      </w:pPr>
      <w:r>
        <w:rPr>
          <w:rFonts w:ascii="Arial" w:cs="Arial" w:eastAsia="Arial" w:hAnsi="Arial"/>
          <w:b/>
          <w:bCs/>
          <w:color w:val="1A1A1A"/>
          <w:sz w:val="32"/>
          <w:szCs w:val="32"/>
        </w:rPr>
        <w:t xml:space="preserve">1. Abstract</w:t>
      </w:r>
    </w:p>
    <w:p>
      <w:pPr>
        <w:spacing w:after="160" w:line="276"/>
        <w:jc w:val="left"/>
      </w:pPr>
      <w:r>
        <w:rPr>
          <w:rFonts w:ascii="Arial" w:cs="Arial" w:eastAsia="Arial" w:hAnsi="Arial"/>
          <w:color w:val="1A1A1A"/>
          <w:sz w:val="21"/>
          <w:szCs w:val="21"/>
        </w:rPr>
        <w:t xml:space="preserve">Draw The Chart (DTC) is a trading-themed prediction game in which players sketch the full expected price path of a crypto asset over a chosen timeframe, stake an entry amount, and receive a payout determined by how closely their drawing matches realized price action. Unlike binary prediction markets or single-target bets, DTC captures the complete shape of a player’s thesis: direction, magnitude, timing, and turning points.</w:t>
      </w:r>
    </w:p>
    <w:p>
      <w:pPr>
        <w:spacing w:after="160" w:line="276"/>
        <w:jc w:val="left"/>
      </w:pPr>
      <w:r>
        <w:rPr>
          <w:rFonts w:ascii="Arial" w:cs="Arial" w:eastAsia="Arial" w:hAnsi="Arial"/>
          <w:color w:val="1A1A1A"/>
          <w:sz w:val="21"/>
          <w:szCs w:val="21"/>
        </w:rPr>
        <w:t xml:space="preserve">The game is settled by an open, deterministic scoring algorithm that compares the player’s forecast path to the realized market path in returns space, then maps the resulting score to a transparent payout multiplier with a built-in house edge. Scoring logic is versioned, open-source, and every round is independently replayable.</w:t>
      </w:r>
    </w:p>
    <w:p>
      <w:pPr>
        <w:spacing w:after="160" w:line="276"/>
        <w:jc w:val="left"/>
      </w:pPr>
      <w:r>
        <w:rPr>
          <w:rFonts w:ascii="Arial" w:cs="Arial" w:eastAsia="Arial" w:hAnsi="Arial"/>
          <w:color w:val="1A1A1A"/>
          <w:sz w:val="21"/>
          <w:szCs w:val="21"/>
        </w:rPr>
        <w:t xml:space="preserve">DTC packages what crypto users already do socially—posting chart drawings, trendlines, and trade theses—into a fast, repeatable, casino-like loop. The initial deployment targets a web application with offchain scoring and provable commitments, with a path toward stronger onchain verifiability.</w:t>
      </w:r>
    </w:p>
    <w:p>
      <w:r>
        <w:br w:type="page"/>
      </w:r>
    </w:p>
    <w:p>
      <w:pPr>
        <w:pStyle w:val="Heading1"/>
        <w:spacing w:before="360" w:after="200"/>
      </w:pPr>
      <w:r>
        <w:rPr>
          <w:rFonts w:ascii="Arial" w:cs="Arial" w:eastAsia="Arial" w:hAnsi="Arial"/>
          <w:b/>
          <w:bCs/>
          <w:color w:val="1A1A1A"/>
          <w:sz w:val="32"/>
          <w:szCs w:val="32"/>
        </w:rPr>
        <w:t xml:space="preserve">2. The Opportunity</w:t>
      </w:r>
    </w:p>
    <w:p>
      <w:pPr>
        <w:pStyle w:val="Heading2"/>
        <w:spacing w:before="280" w:after="160"/>
      </w:pPr>
      <w:r>
        <w:rPr>
          <w:rFonts w:ascii="Arial" w:cs="Arial" w:eastAsia="Arial" w:hAnsi="Arial"/>
          <w:b/>
          <w:bCs/>
          <w:color w:val="2B5797"/>
          <w:sz w:val="26"/>
          <w:szCs w:val="26"/>
        </w:rPr>
        <w:t xml:space="preserve">2.1 What Crypto Users Already Do</w:t>
      </w:r>
    </w:p>
    <w:p>
      <w:pPr>
        <w:spacing w:after="160" w:line="276"/>
        <w:jc w:val="left"/>
      </w:pPr>
      <w:r>
        <w:rPr>
          <w:rFonts w:ascii="Arial" w:cs="Arial" w:eastAsia="Arial" w:hAnsi="Arial"/>
          <w:color w:val="1A1A1A"/>
          <w:sz w:val="21"/>
          <w:szCs w:val="21"/>
        </w:rPr>
        <w:t xml:space="preserve">Every day, thousands of crypto users post chart drawings on social media: trendlines, support and resistance levels, predicted pullbacks, breakouts, and consolidation patterns. This behavior is not niche—it is the dominant form of retail crypto analysis. “Chart guys” and self-proclaimed trading gurus build audiences by drawing their expected price paths and narrating the thesis behind each move.</w:t>
      </w:r>
    </w:p>
    <w:p>
      <w:pPr>
        <w:spacing w:after="160" w:line="276"/>
        <w:jc w:val="left"/>
      </w:pPr>
      <w:r>
        <w:rPr>
          <w:rFonts w:ascii="Arial" w:cs="Arial" w:eastAsia="Arial" w:hAnsi="Arial"/>
          <w:color w:val="1A1A1A"/>
          <w:sz w:val="21"/>
          <w:szCs w:val="21"/>
        </w:rPr>
        <w:t xml:space="preserve">Yet no product captures this specific action—the act of drawing a price path—as a core interaction. The drawing itself is the prediction, and it is richer than any single number or direction.</w:t>
      </w:r>
    </w:p>
    <w:p>
      <w:pPr>
        <w:pStyle w:val="Heading2"/>
        <w:spacing w:before="280" w:after="160"/>
      </w:pPr>
      <w:r>
        <w:rPr>
          <w:rFonts w:ascii="Arial" w:cs="Arial" w:eastAsia="Arial" w:hAnsi="Arial"/>
          <w:b/>
          <w:bCs/>
          <w:color w:val="2B5797"/>
          <w:sz w:val="26"/>
          <w:szCs w:val="26"/>
        </w:rPr>
        <w:t xml:space="preserve">2.2 Why Existing Products Fall Short</w:t>
      </w:r>
    </w:p>
    <w:p>
      <w:pPr>
        <w:spacing w:after="160" w:line="276"/>
        <w:jc w:val="left"/>
      </w:pPr>
      <w:r>
        <w:rPr>
          <w:rFonts w:ascii="Arial" w:cs="Arial" w:eastAsia="Arial" w:hAnsi="Arial"/>
          <w:color w:val="1A1A1A"/>
          <w:sz w:val="21"/>
          <w:szCs w:val="21"/>
        </w:rPr>
        <w:t xml:space="preserve">Existing crypto betting and prediction products reduce complex market views into impoverished formats:</w:t>
      </w:r>
    </w:p>
    <w:p>
      <w:pPr>
        <w:pStyle w:val="ListParagraph"/>
        <w:numPr>
          <w:ilvl w:val="0"/>
          <w:numId w:val="2"/>
        </w:numPr>
        <w:spacing w:after="80" w:line="276"/>
      </w:pPr>
      <w:r>
        <w:rPr>
          <w:rFonts w:ascii="Arial" w:cs="Arial" w:eastAsia="Arial" w:hAnsi="Arial"/>
          <w:color w:val="1A1A1A"/>
          <w:sz w:val="21"/>
          <w:szCs w:val="21"/>
        </w:rPr>
        <w:t xml:space="preserve">Binary prediction markets (e.g., Polymarket) force a single threshold: “BTC above $X by date Y.” A trader who correctly predicts the path—but whose target is missed by $50—loses everything.</w:t>
      </w:r>
    </w:p>
    <w:p>
      <w:pPr>
        <w:pStyle w:val="ListParagraph"/>
        <w:numPr>
          <w:ilvl w:val="0"/>
          <w:numId w:val="2"/>
        </w:numPr>
        <w:spacing w:after="80" w:line="276"/>
      </w:pPr>
      <w:r>
        <w:rPr>
          <w:rFonts w:ascii="Arial" w:cs="Arial" w:eastAsia="Arial" w:hAnsi="Arial"/>
          <w:color w:val="1A1A1A"/>
          <w:sz w:val="21"/>
          <w:szCs w:val="21"/>
        </w:rPr>
        <w:t xml:space="preserve">Leveraged perpetual positions reward direction but punish noise. A correct thesis can be liquidated by a temporary wick, making the outcome feel unearned or unfair.</w:t>
      </w:r>
    </w:p>
    <w:p>
      <w:pPr>
        <w:pStyle w:val="ListParagraph"/>
        <w:numPr>
          <w:ilvl w:val="0"/>
          <w:numId w:val="2"/>
        </w:numPr>
        <w:spacing w:after="80" w:line="276"/>
      </w:pPr>
      <w:r>
        <w:rPr>
          <w:rFonts w:ascii="Arial" w:cs="Arial" w:eastAsia="Arial" w:hAnsi="Arial"/>
          <w:color w:val="1A1A1A"/>
          <w:sz w:val="21"/>
          <w:szCs w:val="21"/>
        </w:rPr>
        <w:t xml:space="preserve">Casino-style games (e.g., Crash) offer convex, house-vs-player payouts but are purely random. The player has no agency over the outcome.</w:t>
      </w:r>
    </w:p>
    <w:p>
      <w:pPr>
        <w:spacing w:after="160" w:line="276"/>
        <w:jc w:val="left"/>
      </w:pPr>
      <w:r>
        <w:rPr>
          <w:rFonts w:ascii="Arial" w:cs="Arial" w:eastAsia="Arial" w:hAnsi="Arial"/>
          <w:color w:val="1A1A1A"/>
          <w:sz w:val="21"/>
          <w:szCs w:val="21"/>
        </w:rPr>
        <w:t xml:space="preserve">DTC occupies the gap between these: a game where the player expresses a complete thesis in one action (drawing), the payout reflects multiple dimensions of correctness, and the interaction feels like trading rather than gambling—even though the underlying structure is a house-backed wager with a mathematical edge.</w:t>
      </w:r>
    </w:p>
    <w:p>
      <w:pPr>
        <w:pStyle w:val="Heading2"/>
        <w:spacing w:before="280" w:after="160"/>
      </w:pPr>
      <w:r>
        <w:rPr>
          <w:rFonts w:ascii="Arial" w:cs="Arial" w:eastAsia="Arial" w:hAnsi="Arial"/>
          <w:b/>
          <w:bCs/>
          <w:color w:val="2B5797"/>
          <w:sz w:val="26"/>
          <w:szCs w:val="26"/>
        </w:rPr>
        <w:t xml:space="preserve">2.3 The Psychological Insight</w:t>
      </w:r>
    </w:p>
    <w:p>
      <w:pPr>
        <w:spacing w:after="160" w:line="276"/>
        <w:jc w:val="left"/>
      </w:pPr>
      <w:r>
        <w:rPr>
          <w:rFonts w:ascii="Arial" w:cs="Arial" w:eastAsia="Arial" w:hAnsi="Arial"/>
          <w:color w:val="1A1A1A"/>
          <w:sz w:val="21"/>
          <w:szCs w:val="21"/>
        </w:rPr>
        <w:t xml:space="preserve">The core product insight is that traders want to feel like they are exercising skill and control, even in a context that is fundamentally probabilistic. The charting and technical analysis wrapper is not a cosmetic skin; it is the product itself. A player who draws a path and gets scored on direction, magnitude, and timing feels that their knowledge mattered, even when the house edge ensures the game is profitable in aggregate.</w:t>
      </w:r>
    </w:p>
    <w:p>
      <w:pPr>
        <w:spacing w:after="160" w:line="276"/>
        <w:jc w:val="left"/>
      </w:pPr>
      <w:r>
        <w:rPr>
          <w:rFonts w:ascii="Arial" w:cs="Arial" w:eastAsia="Arial" w:hAnsi="Arial"/>
          <w:color w:val="1A1A1A"/>
          <w:sz w:val="21"/>
          <w:szCs w:val="21"/>
        </w:rPr>
        <w:t xml:space="preserve">This is structurally similar to how Crash games sell the feeling of “cashing out at the right moment,” but DTC is richer: the player’s input is multi-dimensional, the feedback is granular (a score breakdown, not just win/lose), and partial correctness results in partial refunds rather than total loss. A player who gets the direction right but the magnitude wrong still recovers a meaningful fraction of their stake. This soft landing makes the game feel fairer and more re-playable than binary alternatives.</w:t>
      </w:r>
    </w:p>
    <w:p>
      <w:r>
        <w:br w:type="page"/>
      </w:r>
    </w:p>
    <w:p>
      <w:pPr>
        <w:pStyle w:val="Heading1"/>
        <w:spacing w:before="360" w:after="200"/>
      </w:pPr>
      <w:r>
        <w:rPr>
          <w:rFonts w:ascii="Arial" w:cs="Arial" w:eastAsia="Arial" w:hAnsi="Arial"/>
          <w:b/>
          <w:bCs/>
          <w:color w:val="1A1A1A"/>
          <w:sz w:val="32"/>
          <w:szCs w:val="32"/>
        </w:rPr>
        <w:t xml:space="preserve">3. Product Design</w:t>
      </w:r>
    </w:p>
    <w:p>
      <w:pPr>
        <w:pStyle w:val="Heading2"/>
        <w:spacing w:before="280" w:after="160"/>
      </w:pPr>
      <w:r>
        <w:rPr>
          <w:rFonts w:ascii="Arial" w:cs="Arial" w:eastAsia="Arial" w:hAnsi="Arial"/>
          <w:b/>
          <w:bCs/>
          <w:color w:val="2B5797"/>
          <w:sz w:val="26"/>
          <w:szCs w:val="26"/>
        </w:rPr>
        <w:t xml:space="preserve">3.1 One-Line Description</w:t>
      </w:r>
    </w:p>
    <w:p>
      <w:pPr>
        <w:spacing w:after="160" w:line="276"/>
        <w:jc w:val="left"/>
      </w:pPr>
      <w:r>
        <w:rPr>
          <w:rFonts w:ascii="Arial" w:cs="Arial" w:eastAsia="Arial" w:hAnsi="Arial"/>
          <w:b/>
          <w:bCs/>
          <w:i/>
          <w:iCs/>
          <w:color w:val="1A1A1A"/>
          <w:sz w:val="21"/>
          <w:szCs w:val="21"/>
        </w:rPr>
        <w:t xml:space="preserve">“Draw the trade idea, win based on closeness.”</w:t>
      </w:r>
    </w:p>
    <w:p>
      <w:pPr>
        <w:pStyle w:val="Heading2"/>
        <w:spacing w:before="280" w:after="160"/>
      </w:pPr>
      <w:r>
        <w:rPr>
          <w:rFonts w:ascii="Arial" w:cs="Arial" w:eastAsia="Arial" w:hAnsi="Arial"/>
          <w:b/>
          <w:bCs/>
          <w:color w:val="2B5797"/>
          <w:sz w:val="26"/>
          <w:szCs w:val="26"/>
        </w:rPr>
        <w:t xml:space="preserve">3.2 Core Loop</w:t>
      </w:r>
    </w:p>
    <w:p>
      <w:pPr>
        <w:spacing w:after="160" w:line="276"/>
        <w:jc w:val="left"/>
      </w:pPr>
      <w:r>
        <w:rPr>
          <w:rFonts w:ascii="Arial" w:cs="Arial" w:eastAsia="Arial" w:hAnsi="Arial"/>
          <w:color w:val="1A1A1A"/>
          <w:sz w:val="21"/>
          <w:szCs w:val="21"/>
        </w:rPr>
        <w:t xml:space="preserve">The DTC game loop is designed to be as tight and repeatable as possible:</w:t>
      </w:r>
    </w:p>
    <w:p>
      <w:pPr>
        <w:pStyle w:val="ListParagraph"/>
        <w:numPr>
          <w:ilvl w:val="0"/>
          <w:numId w:val="3"/>
        </w:numPr>
        <w:spacing w:after="80" w:line="276"/>
      </w:pPr>
      <w:r>
        <w:rPr>
          <w:rFonts w:ascii="Arial" w:cs="Arial" w:eastAsia="Arial" w:hAnsi="Arial"/>
          <w:color w:val="1A1A1A"/>
          <w:sz w:val="21"/>
          <w:szCs w:val="21"/>
        </w:rPr>
        <w:t xml:space="preserve">Select an asset and timeframe.</w:t>
      </w:r>
    </w:p>
    <w:p>
      <w:pPr>
        <w:pStyle w:val="ListParagraph"/>
        <w:numPr>
          <w:ilvl w:val="0"/>
          <w:numId w:val="3"/>
        </w:numPr>
        <w:spacing w:after="80" w:line="276"/>
      </w:pPr>
      <w:r>
        <w:rPr>
          <w:rFonts w:ascii="Arial" w:cs="Arial" w:eastAsia="Arial" w:hAnsi="Arial"/>
          <w:color w:val="1A1A1A"/>
          <w:sz w:val="21"/>
          <w:szCs w:val="21"/>
        </w:rPr>
        <w:t xml:space="preserve">Press Lock Start. The system commits to a start price and timestamp.</w:t>
      </w:r>
    </w:p>
    <w:p>
      <w:pPr>
        <w:pStyle w:val="ListParagraph"/>
        <w:numPr>
          <w:ilvl w:val="0"/>
          <w:numId w:val="3"/>
        </w:numPr>
        <w:spacing w:after="80" w:line="276"/>
      </w:pPr>
      <w:r>
        <w:rPr>
          <w:rFonts w:ascii="Arial" w:cs="Arial" w:eastAsia="Arial" w:hAnsi="Arial"/>
          <w:color w:val="1A1A1A"/>
          <w:sz w:val="21"/>
          <w:szCs w:val="21"/>
        </w:rPr>
        <w:t xml:space="preserve">Draw the expected price path using control points on a frozen chart.</w:t>
      </w:r>
    </w:p>
    <w:p>
      <w:pPr>
        <w:pStyle w:val="ListParagraph"/>
        <w:numPr>
          <w:ilvl w:val="0"/>
          <w:numId w:val="3"/>
        </w:numPr>
        <w:spacing w:after="80" w:line="276"/>
      </w:pPr>
      <w:r>
        <w:rPr>
          <w:rFonts w:ascii="Arial" w:cs="Arial" w:eastAsia="Arial" w:hAnsi="Arial"/>
          <w:color w:val="1A1A1A"/>
          <w:sz w:val="21"/>
          <w:szCs w:val="21"/>
        </w:rPr>
        <w:t xml:space="preserve">Confirm the stake amount and submit. The drawing is locked and cannot be edited.</w:t>
      </w:r>
    </w:p>
    <w:p>
      <w:pPr>
        <w:pStyle w:val="ListParagraph"/>
        <w:numPr>
          <w:ilvl w:val="0"/>
          <w:numId w:val="3"/>
        </w:numPr>
        <w:spacing w:after="80" w:line="276"/>
      </w:pPr>
      <w:r>
        <w:rPr>
          <w:rFonts w:ascii="Arial" w:cs="Arial" w:eastAsia="Arial" w:hAnsi="Arial"/>
          <w:color w:val="1A1A1A"/>
          <w:sz w:val="21"/>
          <w:szCs w:val="21"/>
        </w:rPr>
        <w:t xml:space="preserve">Wait for the timeframe to elapse.</w:t>
      </w:r>
    </w:p>
    <w:p>
      <w:pPr>
        <w:pStyle w:val="ListParagraph"/>
        <w:numPr>
          <w:ilvl w:val="0"/>
          <w:numId w:val="3"/>
        </w:numPr>
        <w:spacing w:after="80" w:line="276"/>
      </w:pPr>
      <w:r>
        <w:rPr>
          <w:rFonts w:ascii="Arial" w:cs="Arial" w:eastAsia="Arial" w:hAnsi="Arial"/>
          <w:color w:val="1A1A1A"/>
          <w:sz w:val="21"/>
          <w:szCs w:val="21"/>
        </w:rPr>
        <w:t xml:space="preserve">Score is computed and payout is settled automatically.</w:t>
      </w:r>
    </w:p>
    <w:p>
      <w:pPr>
        <w:spacing w:after="160" w:line="276"/>
        <w:jc w:val="left"/>
      </w:pPr>
      <w:r>
        <w:rPr>
          <w:rFonts w:ascii="Arial" w:cs="Arial" w:eastAsia="Arial" w:hAnsi="Arial"/>
          <w:color w:val="1A1A1A"/>
          <w:sz w:val="21"/>
          <w:szCs w:val="21"/>
        </w:rPr>
        <w:t xml:space="preserve">The entire flow—from opening the app to having money at risk—takes under two minutes. This speed is deliberate: DTC is designed for repeated play, not for agonizing over a single position.</w:t>
      </w:r>
    </w:p>
    <w:p>
      <w:pPr>
        <w:pStyle w:val="Heading2"/>
        <w:spacing w:before="280" w:after="160"/>
      </w:pPr>
      <w:r>
        <w:rPr>
          <w:rFonts w:ascii="Arial" w:cs="Arial" w:eastAsia="Arial" w:hAnsi="Arial"/>
          <w:b/>
          <w:bCs/>
          <w:color w:val="2B5797"/>
          <w:sz w:val="26"/>
          <w:szCs w:val="26"/>
        </w:rPr>
        <w:t xml:space="preserve">3.3 Supported Assets and Timeframes</w:t>
      </w:r>
    </w:p>
    <w:p>
      <w:pPr>
        <w:spacing w:after="160" w:line="276"/>
        <w:jc w:val="left"/>
      </w:pPr>
      <w:r>
        <w:rPr>
          <w:rFonts w:ascii="Arial" w:cs="Arial" w:eastAsia="Arial" w:hAnsi="Arial"/>
          <w:b/>
          <w:bCs/>
          <w:color w:val="1A1A1A"/>
          <w:sz w:val="21"/>
          <w:szCs w:val="21"/>
        </w:rPr>
        <w:t xml:space="preserve">Launch assets: </w:t>
      </w:r>
      <w:r>
        <w:rPr>
          <w:rFonts w:ascii="Arial" w:cs="Arial" w:eastAsia="Arial" w:hAnsi="Arial"/>
          <w:color w:val="1A1A1A"/>
          <w:sz w:val="21"/>
          <w:szCs w:val="21"/>
        </w:rPr>
        <w:t xml:space="preserve">BTC (Bitcoin), with ETH, SOL, and select high-liquidity tokens added in subsequent releases.</w:t>
      </w:r>
    </w:p>
    <w:p>
      <w:pPr>
        <w:spacing w:after="160" w:line="276"/>
        <w:jc w:val="left"/>
      </w:pPr>
      <w:r>
        <w:rPr>
          <w:rFonts w:ascii="Arial" w:cs="Arial" w:eastAsia="Arial" w:hAnsi="Arial"/>
          <w:b/>
          <w:bCs/>
          <w:color w:val="1A1A1A"/>
          <w:sz w:val="21"/>
          <w:szCs w:val="21"/>
        </w:rPr>
        <w:t xml:space="preserve">Launch timeframes: </w:t>
      </w:r>
      <w:r>
        <w:rPr>
          <w:rFonts w:ascii="Arial" w:cs="Arial" w:eastAsia="Arial" w:hAnsi="Arial"/>
          <w:color w:val="1A1A1A"/>
          <w:sz w:val="21"/>
          <w:szCs w:val="21"/>
        </w:rPr>
        <w:t xml:space="preserve">15 minutes, 1 hour, 6 hours, 24 hours, and 7 days.</w:t>
      </w:r>
    </w:p>
    <w:p>
      <w:pPr>
        <w:spacing w:after="160" w:line="276"/>
        <w:jc w:val="left"/>
      </w:pPr>
      <w:r>
        <w:rPr>
          <w:rFonts w:ascii="Arial" w:cs="Arial" w:eastAsia="Arial" w:hAnsi="Arial"/>
          <w:color w:val="1A1A1A"/>
          <w:sz w:val="21"/>
          <w:szCs w:val="21"/>
        </w:rPr>
        <w:t xml:space="preserve">Fixed standard timeframes simplify oracle sampling schedules, scoring calibration, bankroll exposure modeling, and UX consistency. Custom timeframes may be introduced once the scoring and risk engines are battle-tested.</w:t>
      </w:r>
    </w:p>
    <w:p>
      <w:pPr>
        <w:pStyle w:val="Heading2"/>
        <w:spacing w:before="280" w:after="160"/>
      </w:pPr>
      <w:r>
        <w:rPr>
          <w:rFonts w:ascii="Arial" w:cs="Arial" w:eastAsia="Arial" w:hAnsi="Arial"/>
          <w:b/>
          <w:bCs/>
          <w:color w:val="2B5797"/>
          <w:sz w:val="26"/>
          <w:szCs w:val="26"/>
        </w:rPr>
        <w:t xml:space="preserve">3.4 House vs. Player Model</w:t>
      </w:r>
    </w:p>
    <w:p>
      <w:pPr>
        <w:spacing w:after="160" w:line="276"/>
        <w:jc w:val="left"/>
      </w:pPr>
      <w:r>
        <w:rPr>
          <w:rFonts w:ascii="Arial" w:cs="Arial" w:eastAsia="Arial" w:hAnsi="Arial"/>
          <w:color w:val="1A1A1A"/>
          <w:sz w:val="21"/>
          <w:szCs w:val="21"/>
        </w:rPr>
        <w:t xml:space="preserve">DTC launches as a house-vs-player game backed by a bankroll (liquidity vault). The player bets against the house, and the house’s edge comes from the payout curve’s mathematical structure.</w:t>
      </w:r>
    </w:p>
    <w:p>
      <w:pPr>
        <w:spacing w:after="160" w:line="276"/>
        <w:jc w:val="left"/>
      </w:pPr>
      <w:r>
        <w:rPr>
          <w:rFonts w:ascii="Arial" w:cs="Arial" w:eastAsia="Arial" w:hAnsi="Arial"/>
          <w:color w:val="1A1A1A"/>
          <w:sz w:val="21"/>
          <w:szCs w:val="21"/>
        </w:rPr>
        <w:t xml:space="preserve">This model was chosen over player-vs-player (PvP) pools for several reasons:</w:t>
      </w:r>
    </w:p>
    <w:p>
      <w:pPr>
        <w:pStyle w:val="ListParagraph"/>
        <w:numPr>
          <w:ilvl w:val="0"/>
          <w:numId w:val="4"/>
        </w:numPr>
        <w:spacing w:after="80" w:line="276"/>
      </w:pPr>
      <w:r>
        <w:rPr>
          <w:rFonts w:ascii="Arial" w:cs="Arial" w:eastAsia="Arial" w:hAnsi="Arial"/>
          <w:color w:val="1A1A1A"/>
          <w:sz w:val="21"/>
          <w:szCs w:val="21"/>
        </w:rPr>
        <w:t xml:space="preserve">PvP fragments liquidity and forces players into matching asset/timeframe/start-time windows.</w:t>
      </w:r>
    </w:p>
    <w:p>
      <w:pPr>
        <w:pStyle w:val="ListParagraph"/>
        <w:numPr>
          <w:ilvl w:val="0"/>
          <w:numId w:val="4"/>
        </w:numPr>
        <w:spacing w:after="80" w:line="276"/>
      </w:pPr>
      <w:r>
        <w:rPr>
          <w:rFonts w:ascii="Arial" w:cs="Arial" w:eastAsia="Arial" w:hAnsi="Arial"/>
          <w:color w:val="1A1A1A"/>
          <w:sz w:val="21"/>
          <w:szCs w:val="21"/>
        </w:rPr>
        <w:t xml:space="preserve">PvP undermines the “I can express my own chart whenever I want” feeling of agency.</w:t>
      </w:r>
    </w:p>
    <w:p>
      <w:pPr>
        <w:pStyle w:val="ListParagraph"/>
        <w:numPr>
          <w:ilvl w:val="0"/>
          <w:numId w:val="4"/>
        </w:numPr>
        <w:spacing w:after="80" w:line="276"/>
      </w:pPr>
      <w:r>
        <w:rPr>
          <w:rFonts w:ascii="Arial" w:cs="Arial" w:eastAsia="Arial" w:hAnsi="Arial"/>
          <w:color w:val="1A1A1A"/>
          <w:sz w:val="21"/>
          <w:szCs w:val="21"/>
        </w:rPr>
        <w:t xml:space="preserve">House-vs-player allows any player to enter at any time, on any supported asset and timeframe, without waiting for counterparties.</w:t>
      </w:r>
    </w:p>
    <w:p>
      <w:pPr>
        <w:spacing w:after="160" w:line="276"/>
        <w:jc w:val="left"/>
      </w:pPr>
      <w:r>
        <w:rPr>
          <w:rFonts w:ascii="Arial" w:cs="Arial" w:eastAsia="Arial" w:hAnsi="Arial"/>
          <w:color w:val="1A1A1A"/>
          <w:sz w:val="21"/>
          <w:szCs w:val="21"/>
        </w:rPr>
        <w:t xml:space="preserve">PvP tournaments and friend duels can be layered on as social features once sufficient user density exists, but the default experience remains house-vs-player.</w:t>
      </w:r>
    </w:p>
    <w:p>
      <w:r>
        <w:br w:type="page"/>
      </w:r>
    </w:p>
    <w:p>
      <w:pPr>
        <w:pStyle w:val="Heading1"/>
        <w:spacing w:before="360" w:after="200"/>
      </w:pPr>
      <w:r>
        <w:rPr>
          <w:rFonts w:ascii="Arial" w:cs="Arial" w:eastAsia="Arial" w:hAnsi="Arial"/>
          <w:b/>
          <w:bCs/>
          <w:color w:val="1A1A1A"/>
          <w:sz w:val="32"/>
          <w:szCs w:val="32"/>
        </w:rPr>
        <w:t xml:space="preserve">4. Game Mechanics</w:t>
      </w:r>
    </w:p>
    <w:p>
      <w:pPr>
        <w:pStyle w:val="Heading2"/>
        <w:spacing w:before="280" w:after="160"/>
      </w:pPr>
      <w:r>
        <w:rPr>
          <w:rFonts w:ascii="Arial" w:cs="Arial" w:eastAsia="Arial" w:hAnsi="Arial"/>
          <w:b/>
          <w:bCs/>
          <w:color w:val="2B5797"/>
          <w:sz w:val="26"/>
          <w:szCs w:val="26"/>
        </w:rPr>
        <w:t xml:space="preserve">4.1 Round Lifecycle</w:t>
      </w:r>
    </w:p>
    <w:p>
      <w:pPr>
        <w:spacing w:after="160" w:line="276"/>
        <w:jc w:val="left"/>
      </w:pPr>
      <w:r>
        <w:rPr>
          <w:rFonts w:ascii="Arial" w:cs="Arial" w:eastAsia="Arial" w:hAnsi="Arial"/>
          <w:color w:val="1A1A1A"/>
          <w:sz w:val="21"/>
          <w:szCs w:val="21"/>
        </w:rPr>
        <w:t xml:space="preserve">Each round is user-initiated. The player selects an asset, timeframe, and stake amount, then presses Lock Start. At this point, the system commits to a start timestamp T0 (snapped to the next discrete oracle tick boundary, e.g., the next 15-second mark) and a start price P0 (the oracle index price at T0). The chart is then frozen at T0, and the player draws their forecast path against this frozen view. The app does not display live price updates during the drawing window.</w:t>
      </w:r>
    </w:p>
    <w:p>
      <w:pPr>
        <w:spacing w:after="160" w:line="276"/>
        <w:jc w:val="left"/>
      </w:pPr>
      <w:r>
        <w:rPr>
          <w:rFonts w:ascii="Arial" w:cs="Arial" w:eastAsia="Arial" w:hAnsi="Arial"/>
          <w:color w:val="1A1A1A"/>
          <w:sz w:val="21"/>
          <w:szCs w:val="21"/>
        </w:rPr>
        <w:t xml:space="preserve">The player has a maximum drawing window W (e.g., 60 seconds for timeframes up to 1 hour, 120 seconds for longer). If the drawing is not submitted within this window, the round expires and the stake is refunded. Once submitted, the drawing is cryptographically committed and cannot be edited. The prediction window begins at T0, not at submission time. When the timeframe elapses, the system computes the score and settles the payout.</w:t>
      </w:r>
    </w:p>
    <w:p>
      <w:pPr>
        <w:pStyle w:val="Heading2"/>
        <w:spacing w:before="280" w:after="160"/>
      </w:pPr>
      <w:r>
        <w:rPr>
          <w:rFonts w:ascii="Arial" w:cs="Arial" w:eastAsia="Arial" w:hAnsi="Arial"/>
          <w:b/>
          <w:bCs/>
          <w:color w:val="2B5797"/>
          <w:sz w:val="26"/>
          <w:szCs w:val="26"/>
        </w:rPr>
        <w:t xml:space="preserve">4.2 Start-Time Fairness</w:t>
      </w:r>
    </w:p>
    <w:p>
      <w:pPr>
        <w:spacing w:after="160" w:line="276"/>
        <w:jc w:val="left"/>
      </w:pPr>
      <w:r>
        <w:rPr>
          <w:rFonts w:ascii="Arial" w:cs="Arial" w:eastAsia="Arial" w:hAnsi="Arial"/>
          <w:color w:val="1A1A1A"/>
          <w:sz w:val="21"/>
          <w:szCs w:val="21"/>
        </w:rPr>
        <w:t xml:space="preserve">User-initiated rounds create a potential advantage: a player who clicks Lock Start just after a large move begins has information that should not be available. DTC resolves this by snapping T0 to a discrete tick boundary and freezing the chart at T0. The tick boundary is deliberately coarser than the oracle sampling interval (e.g., 15- or 30-second boundaries) to ensure that no partial move is visible between the player’s click and the official start.</w:t>
      </w:r>
    </w:p>
    <w:p>
      <w:pPr>
        <w:spacing w:after="160" w:line="276"/>
        <w:jc w:val="left"/>
      </w:pPr>
      <w:r>
        <w:rPr>
          <w:rFonts w:ascii="Arial" w:cs="Arial" w:eastAsia="Arial" w:hAnsi="Arial"/>
          <w:color w:val="1A1A1A"/>
          <w:sz w:val="21"/>
          <w:szCs w:val="21"/>
        </w:rPr>
        <w:t xml:space="preserve">The frozen chart and drawing time limit together ensure that the player’s forecast is made against a fixed starting point with limited time to observe or react to new information.</w:t>
      </w:r>
    </w:p>
    <w:p>
      <w:pPr>
        <w:pStyle w:val="Heading2"/>
        <w:spacing w:before="280" w:after="160"/>
      </w:pPr>
      <w:r>
        <w:rPr>
          <w:rFonts w:ascii="Arial" w:cs="Arial" w:eastAsia="Arial" w:hAnsi="Arial"/>
          <w:b/>
          <w:bCs/>
          <w:color w:val="2B5797"/>
          <w:sz w:val="26"/>
          <w:szCs w:val="26"/>
        </w:rPr>
        <w:t xml:space="preserve">4.3 Drawing Format</w:t>
      </w:r>
    </w:p>
    <w:p>
      <w:pPr>
        <w:spacing w:after="160" w:line="276"/>
        <w:jc w:val="left"/>
      </w:pPr>
      <w:r>
        <w:rPr>
          <w:rFonts w:ascii="Arial" w:cs="Arial" w:eastAsia="Arial" w:hAnsi="Arial"/>
          <w:b/>
          <w:bCs/>
          <w:color w:val="1A1A1A"/>
          <w:sz w:val="21"/>
          <w:szCs w:val="21"/>
        </w:rPr>
        <w:t xml:space="preserve">MVP: Control Points. </w:t>
      </w:r>
      <w:r>
        <w:rPr>
          <w:rFonts w:ascii="Arial" w:cs="Arial" w:eastAsia="Arial" w:hAnsi="Arial"/>
          <w:color w:val="1A1A1A"/>
          <w:sz w:val="21"/>
          <w:szCs w:val="21"/>
        </w:rPr>
        <w:t xml:space="preserve">The player places K control points along the future timeline. The forecast path is the linear interpolation between these points. K is fixed per timeframe (e.g., 8 points for 15-minute rounds, 12 for 1-hour, 16 for 6-hour and longer). Control points are easier to score, produce fewer exploit surfaces, and work well on mobile devices.</w:t>
      </w:r>
    </w:p>
    <w:p>
      <w:pPr>
        <w:spacing w:after="160" w:line="276"/>
        <w:jc w:val="left"/>
      </w:pPr>
      <w:r>
        <w:rPr>
          <w:rFonts w:ascii="Arial" w:cs="Arial" w:eastAsia="Arial" w:hAnsi="Arial"/>
          <w:b/>
          <w:bCs/>
          <w:color w:val="1A1A1A"/>
          <w:sz w:val="21"/>
          <w:szCs w:val="21"/>
        </w:rPr>
        <w:t xml:space="preserve">Future: Freehand Drawing. </w:t>
      </w:r>
      <w:r>
        <w:rPr>
          <w:rFonts w:ascii="Arial" w:cs="Arial" w:eastAsia="Arial" w:hAnsi="Arial"/>
          <w:color w:val="1A1A1A"/>
          <w:sz w:val="21"/>
          <w:szCs w:val="21"/>
        </w:rPr>
        <w:t xml:space="preserve">The player draws a continuous stroke, which is converted into a polyline and resampled to a fixed grid of N points. Freehand mode requires stronger anti-exploit constraints and more robust smoothing, and will be introduced only after the scoring algorithm has been hardened against adversarial inputs.</w:t>
      </w:r>
    </w:p>
    <w:p>
      <w:pPr>
        <w:pStyle w:val="Heading2"/>
        <w:spacing w:before="280" w:after="160"/>
      </w:pPr>
      <w:r>
        <w:rPr>
          <w:rFonts w:ascii="Arial" w:cs="Arial" w:eastAsia="Arial" w:hAnsi="Arial"/>
          <w:b/>
          <w:bCs/>
          <w:color w:val="2B5797"/>
          <w:sz w:val="26"/>
          <w:szCs w:val="26"/>
        </w:rPr>
        <w:t xml:space="preserve">4.4 Path Representation</w:t>
      </w:r>
    </w:p>
    <w:p>
      <w:pPr>
        <w:spacing w:after="160" w:line="276"/>
        <w:jc w:val="left"/>
      </w:pPr>
      <w:r>
        <w:rPr>
          <w:rFonts w:ascii="Arial" w:cs="Arial" w:eastAsia="Arial" w:hAnsi="Arial"/>
          <w:color w:val="1A1A1A"/>
          <w:sz w:val="21"/>
          <w:szCs w:val="21"/>
        </w:rPr>
        <w:t xml:space="preserve">To keep scoring consistent across assets and price levels, both the predicted and realized paths are converted to log-return space before scoring:</w:t>
      </w:r>
    </w:p>
    <w:p>
      <w:pPr>
        <w:spacing w:before="120" w:after="120" w:line="276"/>
        <w:ind w:left="720" w:right="720"/>
        <w:jc w:val="center"/>
      </w:pPr>
      <w:r>
        <w:rPr>
          <w:rFonts w:ascii="Courier New" w:cs="Courier New" w:eastAsia="Courier New" w:hAnsi="Courier New"/>
          <w:color w:val="2B5797"/>
          <w:sz w:val="20"/>
          <w:szCs w:val="20"/>
        </w:rPr>
        <w:t xml:space="preserve">r(t) = ln(P(t) / P0)</w:t>
      </w:r>
    </w:p>
    <w:p>
      <w:pPr>
        <w:spacing w:after="160" w:line="276"/>
        <w:jc w:val="left"/>
      </w:pPr>
      <w:r>
        <w:rPr>
          <w:rFonts w:ascii="Arial" w:cs="Arial" w:eastAsia="Arial" w:hAnsi="Arial"/>
          <w:color w:val="1A1A1A"/>
          <w:sz w:val="21"/>
          <w:szCs w:val="21"/>
        </w:rPr>
        <w:t xml:space="preserve">Both paths are anchored at r(T0) = 0. This normalization ensures that a 2% error is comparable whether BTC is at $50,000 or $500,000, and eliminates UI zoom or scale exploits.</w:t>
      </w:r>
    </w:p>
    <w:p>
      <w:pPr>
        <w:pStyle w:val="Heading2"/>
        <w:spacing w:before="280" w:after="160"/>
      </w:pPr>
      <w:r>
        <w:rPr>
          <w:rFonts w:ascii="Arial" w:cs="Arial" w:eastAsia="Arial" w:hAnsi="Arial"/>
          <w:b/>
          <w:bCs/>
          <w:color w:val="2B5797"/>
          <w:sz w:val="26"/>
          <w:szCs w:val="26"/>
        </w:rPr>
        <w:t xml:space="preserve">4.5 Example Round Walkthrough</w:t>
      </w:r>
    </w:p>
    <w:p>
      <w:pPr>
        <w:spacing w:after="160" w:line="276"/>
        <w:jc w:val="left"/>
      </w:pPr>
      <w:r>
        <w:rPr>
          <w:rFonts w:ascii="Arial" w:cs="Arial" w:eastAsia="Arial" w:hAnsi="Arial"/>
          <w:color w:val="1A1A1A"/>
          <w:sz w:val="21"/>
          <w:szCs w:val="21"/>
        </w:rPr>
        <w:t xml:space="preserve">Alice opens DTC at 14:00 UTC and selects BTC / 1 hour. She stakes $50 and presses Lock Start. The system sets T0 = 14:00:15 (next 15-second boundary) and P0 = $97,200. The chart freezes.</w:t>
      </w:r>
    </w:p>
    <w:p>
      <w:pPr>
        <w:spacing w:after="160" w:line="276"/>
        <w:jc w:val="left"/>
      </w:pPr>
      <w:r>
        <w:rPr>
          <w:rFonts w:ascii="Arial" w:cs="Arial" w:eastAsia="Arial" w:hAnsi="Arial"/>
          <w:color w:val="1A1A1A"/>
          <w:sz w:val="21"/>
          <w:szCs w:val="21"/>
        </w:rPr>
        <w:t xml:space="preserve">Alice places 12 control points. Her forecast: BTC rises to $97,800 over the first 20 minutes, pulls back to $97,400 by minute 35, then rallies to $98,100 by the end of the hour.</w:t>
      </w:r>
    </w:p>
    <w:p>
      <w:pPr>
        <w:spacing w:after="160" w:line="276"/>
        <w:jc w:val="left"/>
      </w:pPr>
      <w:r>
        <w:rPr>
          <w:rFonts w:ascii="Arial" w:cs="Arial" w:eastAsia="Arial" w:hAnsi="Arial"/>
          <w:color w:val="1A1A1A"/>
          <w:sz w:val="21"/>
          <w:szCs w:val="21"/>
        </w:rPr>
        <w:t xml:space="preserve">In reality, BTC rises to $97,650 by minute 20 (she overshot the magnitude), dips to $97,300 by minute 30 (close on the pullback), then climbs to $97,900 by 15:00:15 (she was directionally right but overestimated the final level).</w:t>
      </w:r>
    </w:p>
    <w:p>
      <w:pPr>
        <w:spacing w:after="160" w:line="276"/>
        <w:jc w:val="left"/>
      </w:pPr>
      <w:r>
        <w:rPr>
          <w:rFonts w:ascii="Arial" w:cs="Arial" w:eastAsia="Arial" w:hAnsi="Arial"/>
          <w:color w:val="1A1A1A"/>
          <w:sz w:val="21"/>
          <w:szCs w:val="21"/>
        </w:rPr>
        <w:t xml:space="preserve">The scoring algorithm converts both paths to returns space and computes: Direction score = 31/40 (she got most segment directions right), Magnitude score = 19/30 (moderate tracking error, slight upward bias), Turning points = 14/20 (she called the pullback, timing was close but magnitude was off), Shape = 7/10 (volatility profile roughly matched). Total score: 71/100.</w:t>
      </w:r>
    </w:p>
    <w:p>
      <w:pPr>
        <w:spacing w:after="160" w:line="276"/>
        <w:jc w:val="left"/>
      </w:pPr>
      <w:r>
        <w:rPr>
          <w:rFonts w:ascii="Arial" w:cs="Arial" w:eastAsia="Arial" w:hAnsi="Arial"/>
          <w:color w:val="1A1A1A"/>
          <w:sz w:val="21"/>
          <w:szCs w:val="21"/>
        </w:rPr>
        <w:t xml:space="preserve">At score 71, the multiplier curve yields approximately 1.5×. Alice’s $50 stake returns $75. She made $25 profit because her thesis was directionally correct and well-timed, even though the magnitudes were somewhat off.</w:t>
      </w:r>
    </w:p>
    <w:p>
      <w:r>
        <w:br w:type="page"/>
      </w:r>
    </w:p>
    <w:p>
      <w:pPr>
        <w:pStyle w:val="Heading1"/>
        <w:spacing w:before="360" w:after="200"/>
      </w:pPr>
      <w:r>
        <w:rPr>
          <w:rFonts w:ascii="Arial" w:cs="Arial" w:eastAsia="Arial" w:hAnsi="Arial"/>
          <w:b/>
          <w:bCs/>
          <w:color w:val="1A1A1A"/>
          <w:sz w:val="32"/>
          <w:szCs w:val="32"/>
        </w:rPr>
        <w:t xml:space="preserve">5. Oracle and Market Data</w:t>
      </w:r>
    </w:p>
    <w:p>
      <w:pPr>
        <w:pStyle w:val="Heading2"/>
        <w:spacing w:before="280" w:after="160"/>
      </w:pPr>
      <w:r>
        <w:rPr>
          <w:rFonts w:ascii="Arial" w:cs="Arial" w:eastAsia="Arial" w:hAnsi="Arial"/>
          <w:b/>
          <w:bCs/>
          <w:color w:val="2B5797"/>
          <w:sz w:val="26"/>
          <w:szCs w:val="26"/>
        </w:rPr>
        <w:t xml:space="preserve">5.1 Design Requirements</w:t>
      </w:r>
    </w:p>
    <w:p>
      <w:pPr>
        <w:spacing w:after="160" w:line="276"/>
        <w:jc w:val="left"/>
      </w:pPr>
      <w:r>
        <w:rPr>
          <w:rFonts w:ascii="Arial" w:cs="Arial" w:eastAsia="Arial" w:hAnsi="Arial"/>
          <w:color w:val="1A1A1A"/>
          <w:sz w:val="21"/>
          <w:szCs w:val="21"/>
        </w:rPr>
        <w:t xml:space="preserve">The oracle must satisfy three properties: it must be difficult to manipulate (no single venue can determine the price), robust to exchange outages (degraded gracefully, not catastrophically), and deterministic and replayable (anyone can reconstruct the exact series used for settlement).</w:t>
      </w:r>
    </w:p>
    <w:p>
      <w:pPr>
        <w:pStyle w:val="Heading2"/>
        <w:spacing w:before="280" w:after="160"/>
      </w:pPr>
      <w:r>
        <w:rPr>
          <w:rFonts w:ascii="Arial" w:cs="Arial" w:eastAsia="Arial" w:hAnsi="Arial"/>
          <w:b/>
          <w:bCs/>
          <w:color w:val="2B5797"/>
          <w:sz w:val="26"/>
          <w:szCs w:val="26"/>
        </w:rPr>
        <w:t xml:space="preserve">5.2 Index Price Construction</w:t>
      </w:r>
    </w:p>
    <w:p>
      <w:pPr>
        <w:spacing w:after="160" w:line="276"/>
        <w:jc w:val="left"/>
      </w:pPr>
      <w:r>
        <w:rPr>
          <w:rFonts w:ascii="Arial" w:cs="Arial" w:eastAsia="Arial" w:hAnsi="Arial"/>
          <w:color w:val="1A1A1A"/>
          <w:sz w:val="21"/>
          <w:szCs w:val="21"/>
        </w:rPr>
        <w:t xml:space="preserve">For each supported asset, DTC constructs an index price from multiple high-liquidity venues (e.g., Coinbase, Binance, Kraken, OKX). The aggregation rule is a robust central tendency: median price, volume-weighted median, or trimmed mean. The venue set and aggregation method are committed at round start and published alongside settlement data.</w:t>
      </w:r>
    </w:p>
    <w:p>
      <w:pPr>
        <w:spacing w:after="160" w:line="276"/>
        <w:jc w:val="left"/>
      </w:pPr>
      <w:r>
        <w:rPr>
          <w:rFonts w:ascii="Arial" w:cs="Arial" w:eastAsia="Arial" w:hAnsi="Arial"/>
          <w:color w:val="1A1A1A"/>
          <w:sz w:val="21"/>
          <w:szCs w:val="21"/>
        </w:rPr>
        <w:t xml:space="preserve">Chainlink price feeds may serve as a secondary reference or fallback. The exact oracle architecture—whether a self-operated multi-venue index is primary with Chainlink as fallback, or vice versa—remains a deployment decision. [TBD: final oracle configuration]</w:t>
      </w:r>
    </w:p>
    <w:p>
      <w:pPr>
        <w:pStyle w:val="Heading2"/>
        <w:spacing w:before="280" w:after="160"/>
      </w:pPr>
      <w:r>
        <w:rPr>
          <w:rFonts w:ascii="Arial" w:cs="Arial" w:eastAsia="Arial" w:hAnsi="Arial"/>
          <w:b/>
          <w:bCs/>
          <w:color w:val="2B5797"/>
          <w:sz w:val="26"/>
          <w:szCs w:val="26"/>
        </w:rPr>
        <w:t xml:space="preserve">5.3 Sampling Schedule</w:t>
      </w:r>
    </w:p>
    <w:p>
      <w:pPr>
        <w:spacing w:after="160" w:line="276"/>
        <w:jc w:val="left"/>
      </w:pPr>
      <w:r>
        <w:rPr>
          <w:rFonts w:ascii="Arial" w:cs="Arial" w:eastAsia="Arial" w:hAnsi="Arial"/>
          <w:color w:val="1A1A1A"/>
          <w:sz w:val="21"/>
          <w:szCs w:val="21"/>
        </w:rPr>
        <w:t xml:space="preserve">Scoring requires discrete sample points. Each round uses N = 120 samples, with the sampling interval equal to the timeframe divided by 120. To reduce susceptibility to microsecond spikes, each sample is a short time-weighted average price (TWAP) centered on the sample timestamp (e.g., a 5-second TWAP window).</w:t>
      </w:r>
    </w:p>
    <w:p>
      <w:pPr>
        <w:spacing w:after="160" w:line="276"/>
        <w:jc w:val="left"/>
      </w:pPr>
      <w:r>
        <w:rPr>
          <w:rFonts w:ascii="Arial" w:cs="Arial" w:eastAsia="Arial" w:hAnsi="Arial"/>
          <w:color w:val="1A1A1A"/>
          <w:sz w:val="21"/>
          <w:szCs w:val="21"/>
        </w:rPr>
        <w:t xml:space="preserve">Sampling intervals by timeframe: 15m → 7.5s, 1h → 30s, 6h → 3m, 24h → 12m, 7d → 84m.</w:t>
      </w:r>
    </w:p>
    <w:p>
      <w:pPr>
        <w:pStyle w:val="Heading2"/>
        <w:spacing w:before="280" w:after="160"/>
      </w:pPr>
      <w:r>
        <w:rPr>
          <w:rFonts w:ascii="Arial" w:cs="Arial" w:eastAsia="Arial" w:hAnsi="Arial"/>
          <w:b/>
          <w:bCs/>
          <w:color w:val="2B5797"/>
          <w:sz w:val="26"/>
          <w:szCs w:val="26"/>
        </w:rPr>
        <w:t xml:space="preserve">5.4 Downtime and Failure Modes</w:t>
      </w:r>
    </w:p>
    <w:p>
      <w:pPr>
        <w:spacing w:after="160" w:line="276"/>
        <w:jc w:val="left"/>
      </w:pPr>
      <w:r>
        <w:rPr>
          <w:rFonts w:ascii="Arial" w:cs="Arial" w:eastAsia="Arial" w:hAnsi="Arial"/>
          <w:color w:val="1A1A1A"/>
          <w:sz w:val="21"/>
          <w:szCs w:val="21"/>
        </w:rPr>
        <w:t xml:space="preserve">If the oracle index is unavailable for a material portion of a round (e.g., more than 10% of samples are missing), affected entries are refunded in full. Early versions of DTC will prefer clean refunds over degraded settlement modes. The system logs all oracle outages and refund events for transparency.</w:t>
      </w:r>
    </w:p>
    <w:p>
      <w:r>
        <w:br w:type="page"/>
      </w:r>
    </w:p>
    <w:p>
      <w:pPr>
        <w:pStyle w:val="Heading1"/>
        <w:spacing w:before="360" w:after="200"/>
      </w:pPr>
      <w:r>
        <w:rPr>
          <w:rFonts w:ascii="Arial" w:cs="Arial" w:eastAsia="Arial" w:hAnsi="Arial"/>
          <w:b/>
          <w:bCs/>
          <w:color w:val="1A1A1A"/>
          <w:sz w:val="32"/>
          <w:szCs w:val="32"/>
        </w:rPr>
        <w:t xml:space="preserve">6. Scoring Algorithm</w:t>
      </w:r>
    </w:p>
    <w:p>
      <w:pPr>
        <w:pStyle w:val="Heading2"/>
        <w:spacing w:before="280" w:after="160"/>
      </w:pPr>
      <w:r>
        <w:rPr>
          <w:rFonts w:ascii="Arial" w:cs="Arial" w:eastAsia="Arial" w:hAnsi="Arial"/>
          <w:b/>
          <w:bCs/>
          <w:color w:val="2B5797"/>
          <w:sz w:val="26"/>
          <w:szCs w:val="26"/>
        </w:rPr>
        <w:t xml:space="preserve">6.1 Design Principles</w:t>
      </w:r>
    </w:p>
    <w:p>
      <w:pPr>
        <w:spacing w:after="160" w:line="276"/>
        <w:jc w:val="left"/>
      </w:pPr>
      <w:r>
        <w:rPr>
          <w:rFonts w:ascii="Arial" w:cs="Arial" w:eastAsia="Arial" w:hAnsi="Arial"/>
          <w:color w:val="1A1A1A"/>
          <w:sz w:val="21"/>
          <w:szCs w:val="21"/>
        </w:rPr>
        <w:t xml:space="preserve">The scoring algorithm is the core of DTC’s credibility. It must be deterministic (same inputs always produce the same score), open (source code is published and versioned), stable (small input perturbations do not cause large score swings), resistant to adversarial inputs (pathological drawings cannot exploit edge cases for unearned high scores), and explainable (players can reason about what actions improve their score).</w:t>
      </w:r>
    </w:p>
    <w:p>
      <w:pPr>
        <w:pStyle w:val="Heading2"/>
        <w:spacing w:before="280" w:after="160"/>
      </w:pPr>
      <w:r>
        <w:rPr>
          <w:rFonts w:ascii="Arial" w:cs="Arial" w:eastAsia="Arial" w:hAnsi="Arial"/>
          <w:b/>
          <w:bCs/>
          <w:color w:val="2B5797"/>
          <w:sz w:val="26"/>
          <w:szCs w:val="26"/>
        </w:rPr>
        <w:t xml:space="preserve">6.2 Inputs</w:t>
      </w:r>
    </w:p>
    <w:p>
      <w:pPr>
        <w:spacing w:after="160" w:line="276"/>
        <w:jc w:val="left"/>
      </w:pPr>
      <w:r>
        <w:rPr>
          <w:rFonts w:ascii="Arial" w:cs="Arial" w:eastAsia="Arial" w:hAnsi="Arial"/>
          <w:color w:val="1A1A1A"/>
          <w:sz w:val="21"/>
          <w:szCs w:val="21"/>
        </w:rPr>
        <w:t xml:space="preserve">Let the realized path be a_i = r(t_i) and the predicted path be p_i for i = 1 to N, where both are in log-return space anchored at r(T0) = 0. The predicted path is the player’s control points, linearly interpolated and resampled to the same N-point grid as the oracle series.</w:t>
      </w:r>
    </w:p>
    <w:p>
      <w:pPr>
        <w:pStyle w:val="Heading2"/>
        <w:spacing w:before="280" w:after="160"/>
      </w:pPr>
      <w:r>
        <w:rPr>
          <w:rFonts w:ascii="Arial" w:cs="Arial" w:eastAsia="Arial" w:hAnsi="Arial"/>
          <w:b/>
          <w:bCs/>
          <w:color w:val="2B5797"/>
          <w:sz w:val="26"/>
          <w:szCs w:val="26"/>
        </w:rPr>
        <w:t xml:space="preserve">6.3 Component Scores</w:t>
      </w:r>
    </w:p>
    <w:p>
      <w:pPr>
        <w:spacing w:after="160" w:line="276"/>
        <w:jc w:val="left"/>
      </w:pPr>
      <w:r>
        <w:rPr>
          <w:rFonts w:ascii="Arial" w:cs="Arial" w:eastAsia="Arial" w:hAnsi="Arial"/>
          <w:color w:val="1A1A1A"/>
          <w:sz w:val="21"/>
          <w:szCs w:val="21"/>
        </w:rPr>
        <w:t xml:space="preserve">The total score S is the sum of four components, each aligned with a dimension of forecast quality. The weights reflect the intended priority: direction matters most, then magnitude, then timing, then volatility regime.</w:t>
      </w:r>
    </w:p>
    <w:p>
      <w:pPr>
        <w:spacing w:before="200" w:after="120"/>
      </w:pPr>
      <w:r>
        <w:rPr>
          <w:rFonts w:ascii="Arial" w:cs="Arial" w:eastAsia="Arial" w:hAnsi="Arial"/>
          <w:b/>
          <w:bCs/>
          <w:color w:val="1A1A1A"/>
          <w:sz w:val="22"/>
          <w:szCs w:val="22"/>
        </w:rPr>
        <w:t xml:space="preserve">A. Directional Accuracy (0–40 points)</w:t>
      </w:r>
    </w:p>
    <w:p>
      <w:pPr>
        <w:spacing w:after="160" w:line="276"/>
        <w:jc w:val="left"/>
      </w:pPr>
      <w:r>
        <w:rPr>
          <w:rFonts w:ascii="Arial" w:cs="Arial" w:eastAsia="Arial" w:hAnsi="Arial"/>
          <w:color w:val="1A1A1A"/>
          <w:sz w:val="21"/>
          <w:szCs w:val="21"/>
        </w:rPr>
        <w:t xml:space="preserve">Rather than comparing signs of consecutive moves at every sample step—which is dominated by noise at high sampling frequencies—DTC uses a multi-scale direction score. The horizon is divided into segments at increasing levels of granularity: halves, quarters, eighths, and sixteenths. At each scale, the score measures the fraction of segments where the predicted net move matches the sign of the actual net move. Coarser scales are weighted more heavily (geometrically declining weights), so that getting the big directional moves right matters more than matching tick-by-tick fluctuations.</w:t>
      </w:r>
    </w:p>
    <w:p>
      <w:pPr>
        <w:spacing w:before="120" w:after="120" w:line="276"/>
        <w:ind w:left="720" w:right="720"/>
        <w:jc w:val="center"/>
      </w:pPr>
      <w:r>
        <w:rPr>
          <w:rFonts w:ascii="Courier New" w:cs="Courier New" w:eastAsia="Courier New" w:hAnsi="Courier New"/>
          <w:color w:val="2B5797"/>
          <w:sz w:val="20"/>
          <w:szCs w:val="20"/>
        </w:rPr>
        <w:t xml:space="preserve">DirectionScore = 40 × Σ(w_l × H_l) / Σ(w_l)</w:t>
      </w:r>
    </w:p>
    <w:p>
      <w:pPr>
        <w:spacing w:after="160" w:line="276"/>
        <w:jc w:val="left"/>
      </w:pPr>
      <w:r>
        <w:rPr>
          <w:rFonts w:ascii="Arial" w:cs="Arial" w:eastAsia="Arial" w:hAnsi="Arial"/>
          <w:color w:val="1A1A1A"/>
          <w:sz w:val="21"/>
          <w:szCs w:val="21"/>
        </w:rPr>
        <w:t xml:space="preserve">where H_l is the hit rate at scale level l and w_l declines geometrically with granularity.</w:t>
      </w:r>
    </w:p>
    <w:p>
      <w:pPr>
        <w:spacing w:before="200" w:after="120"/>
      </w:pPr>
      <w:r>
        <w:rPr>
          <w:rFonts w:ascii="Arial" w:cs="Arial" w:eastAsia="Arial" w:hAnsi="Arial"/>
          <w:b/>
          <w:bCs/>
          <w:color w:val="1A1A1A"/>
          <w:sz w:val="22"/>
          <w:szCs w:val="22"/>
        </w:rPr>
        <w:t xml:space="preserve">B. Magnitude Accuracy (0–30 points)</w:t>
      </w:r>
    </w:p>
    <w:p>
      <w:pPr>
        <w:spacing w:after="160" w:line="276"/>
        <w:jc w:val="left"/>
      </w:pPr>
      <w:r>
        <w:rPr>
          <w:rFonts w:ascii="Arial" w:cs="Arial" w:eastAsia="Arial" w:hAnsi="Arial"/>
          <w:color w:val="1A1A1A"/>
          <w:sz w:val="21"/>
          <w:szCs w:val="21"/>
        </w:rPr>
        <w:t xml:space="preserve">The magnitude score decomposes prediction error into two sub-components: directional bias (the mean signed error, measuring whether the prediction is systematically too high or too low) and tracking error (RMSE after removing bias, measuring how well the prediction follows the actual path’s fluctuations). Both are normalized by realized volatility σ = std(a_i).</w:t>
      </w:r>
    </w:p>
    <w:p>
      <w:pPr>
        <w:spacing w:before="120" w:after="120" w:line="276"/>
        <w:ind w:left="720" w:right="720"/>
        <w:jc w:val="center"/>
      </w:pPr>
      <w:r>
        <w:rPr>
          <w:rFonts w:ascii="Courier New" w:cs="Courier New" w:eastAsia="Courier New" w:hAnsi="Courier New"/>
          <w:color w:val="2B5797"/>
          <w:sz w:val="20"/>
          <w:szCs w:val="20"/>
        </w:rPr>
        <w:t xml:space="preserve">MagnitudeScore = 30 × exp(−λ × (w_b × |bias|/σ + w_t × RMSE_debiased/σ))</w:t>
      </w:r>
    </w:p>
    <w:p>
      <w:pPr>
        <w:spacing w:after="160" w:line="276"/>
        <w:jc w:val="left"/>
      </w:pPr>
      <w:r>
        <w:rPr>
          <w:rFonts w:ascii="Arial" w:cs="Arial" w:eastAsia="Arial" w:hAnsi="Arial"/>
          <w:color w:val="1A1A1A"/>
          <w:sz w:val="21"/>
          <w:szCs w:val="21"/>
        </w:rPr>
        <w:t xml:space="preserve">This separation ensures that a prediction which is consistently 2% too high (small tracking error, moderate bias) scores differently from one that oscillates wildly around the correct path (no bias, large tracking error). The parameter λ and sub-weights w_b, w_t are calibrated via historical simulation. [TBD: final parameter values]</w:t>
      </w:r>
    </w:p>
    <w:p>
      <w:pPr>
        <w:spacing w:before="200" w:after="120"/>
      </w:pPr>
      <w:r>
        <w:rPr>
          <w:rFonts w:ascii="Arial" w:cs="Arial" w:eastAsia="Arial" w:hAnsi="Arial"/>
          <w:b/>
          <w:bCs/>
          <w:color w:val="1A1A1A"/>
          <w:sz w:val="22"/>
          <w:szCs w:val="22"/>
        </w:rPr>
        <w:t xml:space="preserve">C. Turning Points and Timing (0–20 points)</w:t>
      </w:r>
    </w:p>
    <w:p>
      <w:pPr>
        <w:spacing w:after="160" w:line="276"/>
        <w:jc w:val="left"/>
      </w:pPr>
      <w:r>
        <w:rPr>
          <w:rFonts w:ascii="Arial" w:cs="Arial" w:eastAsia="Arial" w:hAnsi="Arial"/>
          <w:color w:val="1A1A1A"/>
          <w:sz w:val="21"/>
          <w:szCs w:val="21"/>
        </w:rPr>
        <w:t xml:space="preserve">Turning point detection uses a concrete, deterministic algorithm:</w:t>
      </w:r>
    </w:p>
    <w:p>
      <w:pPr>
        <w:pStyle w:val="ListParagraph"/>
        <w:numPr>
          <w:ilvl w:val="0"/>
          <w:numId w:val="5"/>
        </w:numPr>
        <w:spacing w:after="80" w:line="276"/>
      </w:pPr>
      <w:r>
        <w:rPr>
          <w:rFonts w:ascii="Arial" w:cs="Arial" w:eastAsia="Arial" w:hAnsi="Arial"/>
          <w:color w:val="1A1A1A"/>
          <w:sz w:val="21"/>
          <w:szCs w:val="21"/>
        </w:rPr>
        <w:t xml:space="preserve">Smooth both realized and predicted series with a Gaussian kernel of width = horizon/20.</w:t>
      </w:r>
    </w:p>
    <w:p>
      <w:pPr>
        <w:pStyle w:val="ListParagraph"/>
        <w:numPr>
          <w:ilvl w:val="0"/>
          <w:numId w:val="5"/>
        </w:numPr>
        <w:spacing w:after="80" w:line="276"/>
      </w:pPr>
      <w:r>
        <w:rPr>
          <w:rFonts w:ascii="Arial" w:cs="Arial" w:eastAsia="Arial" w:hAnsi="Arial"/>
          <w:color w:val="1A1A1A"/>
          <w:sz w:val="21"/>
          <w:szCs w:val="21"/>
        </w:rPr>
        <w:t xml:space="preserve">Identify local extrema with prominence exceeding 0.3σ (where σ is realized volatility).</w:t>
      </w:r>
    </w:p>
    <w:p>
      <w:pPr>
        <w:pStyle w:val="ListParagraph"/>
        <w:numPr>
          <w:ilvl w:val="0"/>
          <w:numId w:val="5"/>
        </w:numPr>
        <w:spacing w:after="80" w:line="276"/>
      </w:pPr>
      <w:r>
        <w:rPr>
          <w:rFonts w:ascii="Arial" w:cs="Arial" w:eastAsia="Arial" w:hAnsi="Arial"/>
          <w:color w:val="1A1A1A"/>
          <w:sz w:val="21"/>
          <w:szCs w:val="21"/>
        </w:rPr>
        <w:t xml:space="preserve">Use the Hungarian algorithm to optimally match predicted extrema to actual extrema.</w:t>
      </w:r>
    </w:p>
    <w:p>
      <w:pPr>
        <w:pStyle w:val="ListParagraph"/>
        <w:numPr>
          <w:ilvl w:val="0"/>
          <w:numId w:val="5"/>
        </w:numPr>
        <w:spacing w:after="80" w:line="276"/>
      </w:pPr>
      <w:r>
        <w:rPr>
          <w:rFonts w:ascii="Arial" w:cs="Arial" w:eastAsia="Arial" w:hAnsi="Arial"/>
          <w:color w:val="1A1A1A"/>
          <w:sz w:val="21"/>
          <w:szCs w:val="21"/>
        </w:rPr>
        <w:t xml:space="preserve">Score each match based on time offset (within tolerance = horizon/10) and amplitude similarity.</w:t>
      </w:r>
    </w:p>
    <w:p>
      <w:pPr>
        <w:pStyle w:val="ListParagraph"/>
        <w:numPr>
          <w:ilvl w:val="0"/>
          <w:numId w:val="5"/>
        </w:numPr>
        <w:spacing w:after="80" w:line="276"/>
      </w:pPr>
      <w:r>
        <w:rPr>
          <w:rFonts w:ascii="Arial" w:cs="Arial" w:eastAsia="Arial" w:hAnsi="Arial"/>
          <w:color w:val="1A1A1A"/>
          <w:sz w:val="21"/>
          <w:szCs w:val="21"/>
        </w:rPr>
        <w:t xml:space="preserve">Penalize unmatched predicted extrema (hallucinated turns) and unmatched actual extrema (missed turns).</w:t>
      </w:r>
    </w:p>
    <w:p>
      <w:pPr>
        <w:spacing w:after="160" w:line="276"/>
        <w:jc w:val="left"/>
      </w:pPr>
      <w:r>
        <w:rPr>
          <w:rFonts w:ascii="Arial" w:cs="Arial" w:eastAsia="Arial" w:hAnsi="Arial"/>
          <w:color w:val="1A1A1A"/>
          <w:sz w:val="21"/>
          <w:szCs w:val="21"/>
        </w:rPr>
        <w:t xml:space="preserve">This approach is fully deterministic, parameter-transparent, and auditable. The smoothing width and prominence threshold are fixed per scoring version and published.</w:t>
      </w:r>
    </w:p>
    <w:p>
      <w:pPr>
        <w:spacing w:before="200" w:after="120"/>
      </w:pPr>
      <w:r>
        <w:rPr>
          <w:rFonts w:ascii="Arial" w:cs="Arial" w:eastAsia="Arial" w:hAnsi="Arial"/>
          <w:b/>
          <w:bCs/>
          <w:color w:val="1A1A1A"/>
          <w:sz w:val="22"/>
          <w:szCs w:val="22"/>
        </w:rPr>
        <w:t xml:space="preserve">D. Volatility Regime (0–10 points)</w:t>
      </w:r>
    </w:p>
    <w:p>
      <w:pPr>
        <w:spacing w:after="160" w:line="276"/>
        <w:jc w:val="left"/>
      </w:pPr>
      <w:r>
        <w:rPr>
          <w:rFonts w:ascii="Arial" w:cs="Arial" w:eastAsia="Arial" w:hAnsi="Arial"/>
          <w:color w:val="1A1A1A"/>
          <w:sz w:val="21"/>
          <w:szCs w:val="21"/>
        </w:rPr>
        <w:t xml:space="preserve">The volatility regime score compares the distribution of volatility across the horizon. The horizon is split into four equal quarters. In each quarter, the realized volatility of the predicted path and the actual path are computed. The score penalizes mismatches, rewarding predictions that correctly anticipated whether the market would be choppy early and trending late (or vice versa).</w:t>
      </w:r>
    </w:p>
    <w:p>
      <w:pPr>
        <w:spacing w:before="120" w:after="120" w:line="276"/>
        <w:ind w:left="720" w:right="720"/>
        <w:jc w:val="center"/>
      </w:pPr>
      <w:r>
        <w:rPr>
          <w:rFonts w:ascii="Courier New" w:cs="Courier New" w:eastAsia="Courier New" w:hAnsi="Courier New"/>
          <w:color w:val="2B5797"/>
          <w:sz w:val="20"/>
          <w:szCs w:val="20"/>
        </w:rPr>
        <w:t xml:space="preserve">ShapeScore = 10 × exp(−μ × mean(|vol_pred_q − vol_actual_q| / vol_actual_q))</w:t>
      </w:r>
    </w:p>
    <w:p>
      <w:pPr>
        <w:pStyle w:val="Heading2"/>
        <w:spacing w:before="280" w:after="160"/>
      </w:pPr>
      <w:r>
        <w:rPr>
          <w:rFonts w:ascii="Arial" w:cs="Arial" w:eastAsia="Arial" w:hAnsi="Arial"/>
          <w:b/>
          <w:bCs/>
          <w:color w:val="2B5797"/>
          <w:sz w:val="26"/>
          <w:szCs w:val="26"/>
        </w:rPr>
        <w:t xml:space="preserve">6.4 Total Score</w:t>
      </w:r>
    </w:p>
    <w:p>
      <w:pPr>
        <w:spacing w:before="120" w:after="120" w:line="276"/>
        <w:ind w:left="720" w:right="720"/>
        <w:jc w:val="center"/>
      </w:pPr>
      <w:r>
        <w:rPr>
          <w:rFonts w:ascii="Courier New" w:cs="Courier New" w:eastAsia="Courier New" w:hAnsi="Courier New"/>
          <w:color w:val="2B5797"/>
          <w:sz w:val="20"/>
          <w:szCs w:val="20"/>
        </w:rPr>
        <w:t xml:space="preserve">S = DirectionScore + MagnitudeScore + TurningScore + ShapeScore</w:t>
      </w:r>
    </w:p>
    <w:p>
      <w:pPr>
        <w:spacing w:after="160" w:line="276"/>
        <w:jc w:val="left"/>
      </w:pPr>
      <w:r>
        <w:rPr>
          <w:rFonts w:ascii="Arial" w:cs="Arial" w:eastAsia="Arial" w:hAnsi="Arial"/>
          <w:color w:val="1A1A1A"/>
          <w:sz w:val="21"/>
          <w:szCs w:val="21"/>
        </w:rPr>
        <w:t xml:space="preserve">S ranges from 0 to 100. The scoring algorithm, including all parameters, smoothing choices, and matching logic, is versioned and published as open-source code.</w:t>
      </w:r>
    </w:p>
    <w:p>
      <w:pPr>
        <w:pStyle w:val="Heading2"/>
        <w:spacing w:before="280" w:after="160"/>
      </w:pPr>
      <w:r>
        <w:rPr>
          <w:rFonts w:ascii="Arial" w:cs="Arial" w:eastAsia="Arial" w:hAnsi="Arial"/>
          <w:b/>
          <w:bCs/>
          <w:color w:val="2B5797"/>
          <w:sz w:val="26"/>
          <w:szCs w:val="26"/>
        </w:rPr>
        <w:t xml:space="preserve">6.5 Baseline Score Distributions</w:t>
      </w:r>
    </w:p>
    <w:p>
      <w:pPr>
        <w:spacing w:after="160" w:line="276"/>
        <w:jc w:val="left"/>
      </w:pPr>
      <w:r>
        <w:rPr>
          <w:rFonts w:ascii="Arial" w:cs="Arial" w:eastAsia="Arial" w:hAnsi="Arial"/>
          <w:color w:val="1A1A1A"/>
          <w:sz w:val="21"/>
          <w:szCs w:val="21"/>
        </w:rPr>
        <w:t xml:space="preserve">To ensure the scoring system is well-calibrated and to set player expectations, DTC will publish baseline score distributions computed from historical BTC price data:</w:t>
      </w:r>
    </w:p>
    <w:p>
      <w:pPr>
        <w:pStyle w:val="ListParagraph"/>
        <w:numPr>
          <w:ilvl w:val="0"/>
          <w:numId w:val="6"/>
        </w:numPr>
        <w:spacing w:after="80" w:line="276"/>
      </w:pPr>
      <w:r>
        <w:rPr>
          <w:rFonts w:ascii="Arial" w:cs="Arial" w:eastAsia="Arial" w:hAnsi="Arial"/>
          <w:color w:val="1A1A1A"/>
          <w:sz w:val="21"/>
          <w:szCs w:val="21"/>
        </w:rPr>
        <w:t xml:space="preserve">Random walk drawing: expected score approximately 30–35.</w:t>
      </w:r>
    </w:p>
    <w:p>
      <w:pPr>
        <w:pStyle w:val="ListParagraph"/>
        <w:numPr>
          <w:ilvl w:val="0"/>
          <w:numId w:val="6"/>
        </w:numPr>
        <w:spacing w:after="80" w:line="276"/>
      </w:pPr>
      <w:r>
        <w:rPr>
          <w:rFonts w:ascii="Arial" w:cs="Arial" w:eastAsia="Arial" w:hAnsi="Arial"/>
          <w:color w:val="1A1A1A"/>
          <w:sz w:val="21"/>
          <w:szCs w:val="21"/>
        </w:rPr>
        <w:t xml:space="preserve">Flat line (predict no change): expected score approximately 25–35, depending on market regime.</w:t>
      </w:r>
    </w:p>
    <w:p>
      <w:pPr>
        <w:pStyle w:val="ListParagraph"/>
        <w:numPr>
          <w:ilvl w:val="0"/>
          <w:numId w:val="6"/>
        </w:numPr>
        <w:spacing w:after="80" w:line="276"/>
      </w:pPr>
      <w:r>
        <w:rPr>
          <w:rFonts w:ascii="Arial" w:cs="Arial" w:eastAsia="Arial" w:hAnsi="Arial"/>
          <w:color w:val="1A1A1A"/>
          <w:sz w:val="21"/>
          <w:szCs w:val="21"/>
        </w:rPr>
        <w:t xml:space="preserve">Naive trend extrapolation (extend the recent direction): expected score approximately 35–50.</w:t>
      </w:r>
    </w:p>
    <w:p>
      <w:pPr>
        <w:pStyle w:val="ListParagraph"/>
        <w:numPr>
          <w:ilvl w:val="0"/>
          <w:numId w:val="6"/>
        </w:numPr>
        <w:spacing w:after="80" w:line="276"/>
      </w:pPr>
      <w:r>
        <w:rPr>
          <w:rFonts w:ascii="Arial" w:cs="Arial" w:eastAsia="Arial" w:hAnsi="Arial"/>
          <w:color w:val="1A1A1A"/>
          <w:sz w:val="21"/>
          <w:szCs w:val="21"/>
        </w:rPr>
        <w:t xml:space="preserve">Perfect prediction: score = 100.</w:t>
      </w:r>
    </w:p>
    <w:p>
      <w:pPr>
        <w:spacing w:after="160" w:line="276"/>
        <w:jc w:val="left"/>
      </w:pPr>
      <w:r>
        <w:rPr>
          <w:rFonts w:ascii="Arial" w:cs="Arial" w:eastAsia="Arial" w:hAnsi="Arial"/>
          <w:color w:val="1A1A1A"/>
          <w:sz w:val="21"/>
          <w:szCs w:val="21"/>
        </w:rPr>
        <w:t xml:space="preserve">These baselines will be recomputed and published with each scoring version update.</w:t>
      </w:r>
    </w:p>
    <w:p>
      <w:pPr>
        <w:pStyle w:val="Heading2"/>
        <w:spacing w:before="280" w:after="160"/>
      </w:pPr>
      <w:r>
        <w:rPr>
          <w:rFonts w:ascii="Arial" w:cs="Arial" w:eastAsia="Arial" w:hAnsi="Arial"/>
          <w:b/>
          <w:bCs/>
          <w:color w:val="2B5797"/>
          <w:sz w:val="26"/>
          <w:szCs w:val="26"/>
        </w:rPr>
        <w:t xml:space="preserve">6.6 Anti-Exploit Constraints</w:t>
      </w:r>
    </w:p>
    <w:p>
      <w:pPr>
        <w:spacing w:after="160" w:line="276"/>
        <w:jc w:val="left"/>
      </w:pPr>
      <w:r>
        <w:rPr>
          <w:rFonts w:ascii="Arial" w:cs="Arial" w:eastAsia="Arial" w:hAnsi="Arial"/>
          <w:color w:val="1A1A1A"/>
          <w:sz w:val="21"/>
          <w:szCs w:val="21"/>
        </w:rPr>
        <w:t xml:space="preserve">To prevent adversarial drawings from exploiting edge cases in the scoring algorithm, the following constraints are enforced in the MVP:</w:t>
      </w:r>
    </w:p>
    <w:p>
      <w:pPr>
        <w:pStyle w:val="ListParagraph"/>
        <w:numPr>
          <w:ilvl w:val="0"/>
          <w:numId w:val="7"/>
        </w:numPr>
        <w:spacing w:after="80" w:line="276"/>
      </w:pPr>
      <w:r>
        <w:rPr>
          <w:rFonts w:ascii="Arial" w:cs="Arial" w:eastAsia="Arial" w:hAnsi="Arial"/>
          <w:color w:val="1A1A1A"/>
          <w:sz w:val="21"/>
          <w:szCs w:val="21"/>
        </w:rPr>
        <w:t xml:space="preserve">K control points per drawing, where K is fixed per timeframe (e.g., 8 for 15m, 12 for 1h, 16 for 6h+).</w:t>
      </w:r>
    </w:p>
    <w:p>
      <w:pPr>
        <w:pStyle w:val="ListParagraph"/>
        <w:numPr>
          <w:ilvl w:val="0"/>
          <w:numId w:val="7"/>
        </w:numPr>
        <w:spacing w:after="80" w:line="276"/>
      </w:pPr>
      <w:r>
        <w:rPr>
          <w:rFonts w:ascii="Arial" w:cs="Arial" w:eastAsia="Arial" w:hAnsi="Arial"/>
          <w:color w:val="1A1A1A"/>
          <w:sz w:val="21"/>
          <w:szCs w:val="21"/>
        </w:rPr>
        <w:t xml:space="preserve">Time coordinates must be strictly increasing and span the full horizon from T0 to T_end.</w:t>
      </w:r>
    </w:p>
    <w:p>
      <w:pPr>
        <w:pStyle w:val="ListParagraph"/>
        <w:numPr>
          <w:ilvl w:val="0"/>
          <w:numId w:val="7"/>
        </w:numPr>
        <w:spacing w:after="80" w:line="276"/>
      </w:pPr>
      <w:r>
        <w:rPr>
          <w:rFonts w:ascii="Arial" w:cs="Arial" w:eastAsia="Arial" w:hAnsi="Arial"/>
          <w:color w:val="1A1A1A"/>
          <w:sz w:val="21"/>
          <w:szCs w:val="21"/>
        </w:rPr>
        <w:t xml:space="preserve">The first control point must be at (T0, 0)—the prediction starts at the current price.</w:t>
      </w:r>
    </w:p>
    <w:p>
      <w:pPr>
        <w:pStyle w:val="ListParagraph"/>
        <w:numPr>
          <w:ilvl w:val="0"/>
          <w:numId w:val="7"/>
        </w:numPr>
        <w:spacing w:after="80" w:line="276"/>
      </w:pPr>
      <w:r>
        <w:rPr>
          <w:rFonts w:ascii="Arial" w:cs="Arial" w:eastAsia="Arial" w:hAnsi="Arial"/>
          <w:color w:val="1A1A1A"/>
          <w:sz w:val="21"/>
          <w:szCs w:val="21"/>
        </w:rPr>
        <w:t xml:space="preserve">The last control point must be at T_end.</w:t>
      </w:r>
    </w:p>
    <w:p>
      <w:pPr>
        <w:pStyle w:val="ListParagraph"/>
        <w:numPr>
          <w:ilvl w:val="0"/>
          <w:numId w:val="7"/>
        </w:numPr>
        <w:spacing w:after="80" w:line="276"/>
      </w:pPr>
      <w:r>
        <w:rPr>
          <w:rFonts w:ascii="Arial" w:cs="Arial" w:eastAsia="Arial" w:hAnsi="Arial"/>
          <w:color w:val="1A1A1A"/>
          <w:sz w:val="21"/>
          <w:szCs w:val="21"/>
        </w:rPr>
        <w:t xml:space="preserve">Maximum slope between consecutive points is capped at 3× the historical maximum hourly move for the asset.</w:t>
      </w:r>
    </w:p>
    <w:p>
      <w:pPr>
        <w:pStyle w:val="ListParagraph"/>
        <w:numPr>
          <w:ilvl w:val="0"/>
          <w:numId w:val="7"/>
        </w:numPr>
        <w:spacing w:after="80" w:line="276"/>
      </w:pPr>
      <w:r>
        <w:rPr>
          <w:rFonts w:ascii="Arial" w:cs="Arial" w:eastAsia="Arial" w:hAnsi="Arial"/>
          <w:color w:val="1A1A1A"/>
          <w:sz w:val="21"/>
          <w:szCs w:val="21"/>
        </w:rPr>
        <w:t xml:space="preserve">Minimum time spacing between consecutive points (horizon / K / 2) prevents clustering.</w:t>
      </w:r>
    </w:p>
    <w:p>
      <w:pPr>
        <w:pStyle w:val="ListParagraph"/>
        <w:numPr>
          <w:ilvl w:val="0"/>
          <w:numId w:val="7"/>
        </w:numPr>
        <w:spacing w:after="80" w:line="276"/>
      </w:pPr>
      <w:r>
        <w:rPr>
          <w:rFonts w:ascii="Arial" w:cs="Arial" w:eastAsia="Arial" w:hAnsi="Arial"/>
          <w:color w:val="1A1A1A"/>
          <w:sz w:val="21"/>
          <w:szCs w:val="21"/>
        </w:rPr>
        <w:t xml:space="preserve">Drawings that violate these constraints are rejected at submission.</w:t>
      </w:r>
    </w:p>
    <w:p>
      <w:r>
        <w:br w:type="page"/>
      </w:r>
    </w:p>
    <w:p>
      <w:pPr>
        <w:pStyle w:val="Heading1"/>
        <w:spacing w:before="360" w:after="200"/>
      </w:pPr>
      <w:r>
        <w:rPr>
          <w:rFonts w:ascii="Arial" w:cs="Arial" w:eastAsia="Arial" w:hAnsi="Arial"/>
          <w:b/>
          <w:bCs/>
          <w:color w:val="1A1A1A"/>
          <w:sz w:val="32"/>
          <w:szCs w:val="32"/>
        </w:rPr>
        <w:t xml:space="preserve">7. Payout Engine and House Economics</w:t>
      </w:r>
    </w:p>
    <w:p>
      <w:pPr>
        <w:pStyle w:val="Heading2"/>
        <w:spacing w:before="280" w:after="160"/>
      </w:pPr>
      <w:r>
        <w:rPr>
          <w:rFonts w:ascii="Arial" w:cs="Arial" w:eastAsia="Arial" w:hAnsi="Arial"/>
          <w:b/>
          <w:bCs/>
          <w:color w:val="2B5797"/>
          <w:sz w:val="26"/>
          <w:szCs w:val="26"/>
        </w:rPr>
        <w:t xml:space="preserve">7.1 Multiplier Curve</w:t>
      </w:r>
    </w:p>
    <w:p>
      <w:pPr>
        <w:spacing w:after="160" w:line="276"/>
        <w:jc w:val="left"/>
      </w:pPr>
      <w:r>
        <w:rPr>
          <w:rFonts w:ascii="Arial" w:cs="Arial" w:eastAsia="Arial" w:hAnsi="Arial"/>
          <w:color w:val="1A1A1A"/>
          <w:sz w:val="21"/>
          <w:szCs w:val="21"/>
        </w:rPr>
        <w:t xml:space="preserve">The payout is a deterministic function of the score. Let x = S/100 (normalized score in [0, 1]). The multiplier curve M(x) has two zones: a refund zone for low scores and a profit zone for high scores, with a break-even threshold x_be where the multiplier approaches 1.</w:t>
      </w:r>
    </w:p>
    <w:p>
      <w:pPr>
        <w:spacing w:after="160" w:line="276"/>
        <w:jc w:val="left"/>
      </w:pPr>
      <w:r>
        <w:rPr>
          <w:rFonts w:ascii="Arial" w:cs="Arial" w:eastAsia="Arial" w:hAnsi="Arial"/>
          <w:b/>
          <w:bCs/>
          <w:color w:val="1A1A1A"/>
          <w:sz w:val="21"/>
          <w:szCs w:val="21"/>
        </w:rPr>
        <w:t xml:space="preserve">Refund zone (x &lt; x_be): </w:t>
      </w:r>
      <w:r>
        <w:rPr>
          <w:rFonts w:ascii="Arial" w:cs="Arial" w:eastAsia="Arial" w:hAnsi="Arial"/>
          <w:color w:val="1A1A1A"/>
          <w:sz w:val="21"/>
          <w:szCs w:val="21"/>
        </w:rPr>
        <w:t xml:space="preserve">The player receives a partial refund that increases with score. This ensures that even mediocre predictions recover a meaningful fraction of the stake, reducing the perceived harshness of the game.</w:t>
      </w:r>
    </w:p>
    <w:p>
      <w:pPr>
        <w:spacing w:before="120" w:after="120" w:line="276"/>
        <w:ind w:left="720" w:right="720"/>
        <w:jc w:val="center"/>
      </w:pPr>
      <w:r>
        <w:rPr>
          <w:rFonts w:ascii="Courier New" w:cs="Courier New" w:eastAsia="Courier New" w:hAnsi="Courier New"/>
          <w:color w:val="2B5797"/>
          <w:sz w:val="20"/>
          <w:szCs w:val="20"/>
        </w:rPr>
        <w:t xml:space="preserve">M(x) = M_min + (1 − h − M_min) × (x / x_be)^alpha</w:t>
      </w:r>
    </w:p>
    <w:p>
      <w:pPr>
        <w:spacing w:after="160" w:line="276"/>
        <w:jc w:val="left"/>
      </w:pPr>
      <w:r>
        <w:rPr>
          <w:rFonts w:ascii="Arial" w:cs="Arial" w:eastAsia="Arial" w:hAnsi="Arial"/>
          <w:b/>
          <w:bCs/>
          <w:color w:val="1A1A1A"/>
          <w:sz w:val="21"/>
          <w:szCs w:val="21"/>
        </w:rPr>
        <w:t xml:space="preserve">Profit zone (x ≥ x_be): </w:t>
      </w:r>
      <w:r>
        <w:rPr>
          <w:rFonts w:ascii="Arial" w:cs="Arial" w:eastAsia="Arial" w:hAnsi="Arial"/>
          <w:color w:val="1A1A1A"/>
          <w:sz w:val="21"/>
          <w:szCs w:val="21"/>
        </w:rPr>
        <w:t xml:space="preserve">The multiplier grows convexly toward a hard cap M_max. Near-perfect scores yield large payouts, consistent with the intuition that near-perfect forecasting is extremely rare and should be richly rewarded.</w:t>
      </w:r>
    </w:p>
    <w:p>
      <w:pPr>
        <w:spacing w:before="120" w:after="120" w:line="276"/>
        <w:ind w:left="720" w:right="720"/>
        <w:jc w:val="center"/>
      </w:pPr>
      <w:r>
        <w:rPr>
          <w:rFonts w:ascii="Courier New" w:cs="Courier New" w:eastAsia="Courier New" w:hAnsi="Courier New"/>
          <w:color w:val="2B5797"/>
          <w:sz w:val="20"/>
          <w:szCs w:val="20"/>
        </w:rPr>
        <w:t xml:space="preserve">M(x) = min(M_max, (1 − h) × exp(k × (x − x_be) / (1 − x_be)))</w:t>
      </w:r>
    </w:p>
    <w:p>
      <w:pPr>
        <w:pStyle w:val="Heading2"/>
        <w:spacing w:before="280" w:after="160"/>
      </w:pPr>
      <w:r>
        <w:rPr>
          <w:rFonts w:ascii="Arial" w:cs="Arial" w:eastAsia="Arial" w:hAnsi="Arial"/>
          <w:b/>
          <w:bCs/>
          <w:color w:val="2B5797"/>
          <w:sz w:val="26"/>
          <w:szCs w:val="26"/>
        </w:rPr>
        <w:t xml:space="preserve">7.2 Illustrative Payout Table</w:t>
      </w:r>
    </w:p>
    <w:p>
      <w:pPr>
        <w:spacing w:after="160" w:line="276"/>
        <w:jc w:val="left"/>
      </w:pPr>
      <w:r>
        <w:rPr>
          <w:rFonts w:ascii="Arial" w:cs="Arial" w:eastAsia="Arial" w:hAnsi="Arial"/>
          <w:color w:val="1A1A1A"/>
          <w:sz w:val="21"/>
          <w:szCs w:val="21"/>
        </w:rPr>
        <w:t xml:space="preserve">The following table uses preliminary parameter values (h = 2%, x_be = 0.62, M_min = 0.30, alpha = 1.8, k = 3.93, M_max = 50×) to illustrate the curve. Final values will be set through historical simulation and backtesting.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3120"/>
      </w:tblGrid>
      <w:tr>
        <w:tc>
          <w:tcPr>
            <w:tcW w:type="dxa" w:w="156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Score</w:t>
            </w:r>
          </w:p>
        </w:tc>
        <w:tc>
          <w:tcPr>
            <w:tcW w:type="dxa" w:w="156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x</w:t>
            </w:r>
          </w:p>
        </w:tc>
        <w:tc>
          <w:tcPr>
            <w:tcW w:type="dxa" w:w="156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M(x)</w:t>
            </w:r>
          </w:p>
        </w:tc>
        <w:tc>
          <w:tcPr>
            <w:tcW w:type="dxa" w:w="156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$100 pays</w:t>
            </w:r>
          </w:p>
        </w:tc>
        <w:tc>
          <w:tcPr>
            <w:tcW w:type="dxa" w:w="312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Interpretation</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0.00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0.30×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$30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Poor prediction; minimum refund</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40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0.40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0.57×</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$57</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Below average; partial refund</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55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0.55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0.82×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$82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Decent; approaching break-even</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62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0.62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0.98×</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$98</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Break-even threshold</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70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0.70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1.30×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$130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Good prediction; modest profit</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80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0.80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2.16×</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$216</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Strong prediction; solid return</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90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0.90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4.70×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$470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Excellent; convex upside begins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95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0.95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9.20×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$920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Near-perfect; large payout</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50.0×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$5,000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Perfect score; hard cap</w:t>
            </w:r>
          </w:p>
        </w:tc>
      </w:tr>
    </w:tbl>
    <w:p>
      <w:pPr>
        <w:spacing w:after="160"/>
      </w:pPr>
    </w:p>
    <w:p>
      <w:pPr>
        <w:spacing w:after="160" w:line="276"/>
      </w:pPr>
      <w:r>
        <w:rPr>
          <w:rFonts w:ascii="Arial" w:cs="Arial" w:eastAsia="Arial" w:hAnsi="Arial"/>
          <w:i/>
          <w:iCs/>
          <w:color w:val="666666"/>
          <w:sz w:val="21"/>
          <w:szCs w:val="21"/>
        </w:rPr>
        <w:t xml:space="preserve">Note: These values are illustrative. Final calibration requires simulation across historical market regimes and synthetic player strategies.</w:t>
      </w:r>
    </w:p>
    <w:p>
      <w:pPr>
        <w:pStyle w:val="Heading2"/>
        <w:spacing w:before="280" w:after="160"/>
      </w:pPr>
      <w:r>
        <w:rPr>
          <w:rFonts w:ascii="Arial" w:cs="Arial" w:eastAsia="Arial" w:hAnsi="Arial"/>
          <w:b/>
          <w:bCs/>
          <w:color w:val="2B5797"/>
          <w:sz w:val="26"/>
          <w:szCs w:val="26"/>
        </w:rPr>
        <w:t xml:space="preserve">7.3 Difficulty Adjustment</w:t>
      </w:r>
    </w:p>
    <w:p>
      <w:pPr>
        <w:spacing w:after="160" w:line="276"/>
        <w:jc w:val="left"/>
      </w:pPr>
      <w:r>
        <w:rPr>
          <w:rFonts w:ascii="Arial" w:cs="Arial" w:eastAsia="Arial" w:hAnsi="Arial"/>
          <w:color w:val="1A1A1A"/>
          <w:sz w:val="21"/>
          <w:szCs w:val="21"/>
        </w:rPr>
        <w:t xml:space="preserve">A natural concern is that sideways, low-volatility markets make high scores easier to achieve (a flat-line prediction does well when the market barely moves). Two approaches are considered:</w:t>
      </w:r>
    </w:p>
    <w:p>
      <w:pPr>
        <w:spacing w:after="160" w:line="276"/>
        <w:jc w:val="left"/>
      </w:pPr>
      <w:r>
        <w:rPr>
          <w:rFonts w:ascii="Arial" w:cs="Arial" w:eastAsia="Arial" w:hAnsi="Arial"/>
          <w:b/>
          <w:bCs/>
          <w:color w:val="1A1A1A"/>
          <w:sz w:val="21"/>
          <w:szCs w:val="21"/>
        </w:rPr>
        <w:t xml:space="preserve">Option A (MVP): No difficulty adjustment. </w:t>
      </w:r>
      <w:r>
        <w:rPr>
          <w:rFonts w:ascii="Arial" w:cs="Arial" w:eastAsia="Arial" w:hAnsi="Arial"/>
          <w:color w:val="1A1A1A"/>
          <w:sz w:val="21"/>
          <w:szCs w:val="21"/>
        </w:rPr>
        <w:t xml:space="preserve">Calibrate the base payout curve conservatively enough to remain sustainable across all volatility regimes. Accept that low-vol periods are slightly more favorable to players. This is simpler, fully transparent (the player knows their max payout before entering), and avoids the complexity of post-hoc adjustments.</w:t>
      </w:r>
    </w:p>
    <w:p>
      <w:pPr>
        <w:spacing w:after="160" w:line="276"/>
        <w:jc w:val="left"/>
      </w:pPr>
      <w:r>
        <w:rPr>
          <w:rFonts w:ascii="Arial" w:cs="Arial" w:eastAsia="Arial" w:hAnsi="Arial"/>
          <w:b/>
          <w:bCs/>
          <w:color w:val="1A1A1A"/>
          <w:sz w:val="21"/>
          <w:szCs w:val="21"/>
        </w:rPr>
        <w:t xml:space="preserve">Option B (V1): Pre-round difficulty signal. </w:t>
      </w:r>
      <w:r>
        <w:rPr>
          <w:rFonts w:ascii="Arial" w:cs="Arial" w:eastAsia="Arial" w:hAnsi="Arial"/>
          <w:color w:val="1A1A1A"/>
          <w:sz w:val="21"/>
          <w:szCs w:val="21"/>
        </w:rPr>
        <w:t xml:space="preserve">Use trailing realized volatility (e.g., rolling 24-hour vol) as a proxy for expected difficulty. Display the effective M_max before the player enters, so the payout structure is known in advance. The risk is that realized vol during the round may differ from the trailing estimate, but this is symmetric risk.</w:t>
      </w:r>
    </w:p>
    <w:p>
      <w:pPr>
        <w:spacing w:after="160" w:line="276"/>
        <w:jc w:val="left"/>
      </w:pPr>
      <w:r>
        <w:rPr>
          <w:rFonts w:ascii="Arial" w:cs="Arial" w:eastAsia="Arial" w:hAnsi="Arial"/>
          <w:color w:val="1A1A1A"/>
          <w:sz w:val="21"/>
          <w:szCs w:val="21"/>
        </w:rPr>
        <w:t xml:space="preserve">Recommendation: Option A for MVP, with Option B introduced after sufficient data on score distributions across market regimes has been collected.</w:t>
      </w:r>
    </w:p>
    <w:p>
      <w:pPr>
        <w:pStyle w:val="Heading2"/>
        <w:spacing w:before="280" w:after="160"/>
      </w:pPr>
      <w:r>
        <w:rPr>
          <w:rFonts w:ascii="Arial" w:cs="Arial" w:eastAsia="Arial" w:hAnsi="Arial"/>
          <w:b/>
          <w:bCs/>
          <w:color w:val="2B5797"/>
          <w:sz w:val="26"/>
          <w:szCs w:val="26"/>
        </w:rPr>
        <w:t xml:space="preserve">7.4 House Edge</w:t>
      </w:r>
    </w:p>
    <w:p>
      <w:pPr>
        <w:spacing w:after="160" w:line="276"/>
        <w:jc w:val="left"/>
      </w:pPr>
      <w:r>
        <w:rPr>
          <w:rFonts w:ascii="Arial" w:cs="Arial" w:eastAsia="Arial" w:hAnsi="Arial"/>
          <w:color w:val="1A1A1A"/>
          <w:sz w:val="21"/>
          <w:szCs w:val="21"/>
        </w:rPr>
        <w:t xml:space="preserve">The house edge h is embedded in the multiplier curve as a multiplicative discount. At the break-even threshold, the multiplier is approximately (1 − h), meaning the house retains h of the stake in expectation at the break-even score. The preliminary target is h = 2%, comparable to well-calibrated casino games. The exact value will be finalized through simulation to balance sustainability with player attractiveness.</w:t>
      </w:r>
    </w:p>
    <w:p>
      <w:pPr>
        <w:pStyle w:val="Heading2"/>
        <w:spacing w:before="280" w:after="160"/>
      </w:pPr>
      <w:r>
        <w:rPr>
          <w:rFonts w:ascii="Arial" w:cs="Arial" w:eastAsia="Arial" w:hAnsi="Arial"/>
          <w:b/>
          <w:bCs/>
          <w:color w:val="2B5797"/>
          <w:sz w:val="26"/>
          <w:szCs w:val="26"/>
        </w:rPr>
        <w:t xml:space="preserve">7.5 Bankroll Exposure and Risk Controls</w:t>
      </w:r>
    </w:p>
    <w:p>
      <w:pPr>
        <w:spacing w:after="160" w:line="276"/>
        <w:jc w:val="left"/>
      </w:pPr>
      <w:r>
        <w:rPr>
          <w:rFonts w:ascii="Arial" w:cs="Arial" w:eastAsia="Arial" w:hAnsi="Arial"/>
          <w:color w:val="1A1A1A"/>
          <w:sz w:val="21"/>
          <w:szCs w:val="21"/>
        </w:rPr>
        <w:t xml:space="preserve">A low house edge is necessary but not sufficient to protect the bankroll. DTC implements layered risk controls:</w:t>
      </w:r>
    </w:p>
    <w:p>
      <w:pPr>
        <w:spacing w:after="160" w:line="276"/>
        <w:jc w:val="left"/>
      </w:pPr>
      <w:r>
        <w:rPr>
          <w:rFonts w:ascii="Arial" w:cs="Arial" w:eastAsia="Arial" w:hAnsi="Arial"/>
          <w:b/>
          <w:bCs/>
          <w:color w:val="1A1A1A"/>
          <w:sz w:val="21"/>
          <w:szCs w:val="21"/>
        </w:rPr>
        <w:t xml:space="preserve">Per-entry payout cap: </w:t>
      </w:r>
      <w:r>
        <w:rPr>
          <w:rFonts w:ascii="Arial" w:cs="Arial" w:eastAsia="Arial" w:hAnsi="Arial"/>
          <w:color w:val="1A1A1A"/>
          <w:sz w:val="21"/>
          <w:szCs w:val="21"/>
        </w:rPr>
        <w:t xml:space="preserve">The maximum payout for any single entry is capped at the lesser of stake × M_max and bankroll × L_entry (e.g., 0.15% of bankroll). This prevents any single round from threatening solvency.</w:t>
      </w:r>
    </w:p>
    <w:p>
      <w:pPr>
        <w:spacing w:after="160" w:line="276"/>
        <w:jc w:val="left"/>
      </w:pPr>
      <w:r>
        <w:rPr>
          <w:rFonts w:ascii="Arial" w:cs="Arial" w:eastAsia="Arial" w:hAnsi="Arial"/>
          <w:b/>
          <w:bCs/>
          <w:color w:val="1A1A1A"/>
          <w:sz w:val="21"/>
          <w:szCs w:val="21"/>
        </w:rPr>
        <w:t xml:space="preserve">Concurrent exposure reserve: </w:t>
      </w:r>
      <w:r>
        <w:rPr>
          <w:rFonts w:ascii="Arial" w:cs="Arial" w:eastAsia="Arial" w:hAnsi="Arial"/>
          <w:color w:val="1A1A1A"/>
          <w:sz w:val="21"/>
          <w:szCs w:val="21"/>
        </w:rPr>
        <w:t xml:space="preserve">When a player enters a round, the maximum potential payout is reserved against the bankroll immediately. New entries are rejected if total reserved exposure exceeds a threshold (e.g., 10% of bankroll).</w:t>
      </w:r>
    </w:p>
    <w:p>
      <w:pPr>
        <w:spacing w:after="160" w:line="276"/>
        <w:jc w:val="left"/>
      </w:pPr>
      <w:r>
        <w:rPr>
          <w:rFonts w:ascii="Arial" w:cs="Arial" w:eastAsia="Arial" w:hAnsi="Arial"/>
          <w:b/>
          <w:bCs/>
          <w:color w:val="1A1A1A"/>
          <w:sz w:val="21"/>
          <w:szCs w:val="21"/>
        </w:rPr>
        <w:t xml:space="preserve">Layered circuit breakers: </w:t>
      </w:r>
      <w:r>
        <w:rPr>
          <w:rFonts w:ascii="Arial" w:cs="Arial" w:eastAsia="Arial" w:hAnsi="Arial"/>
          <w:color w:val="1A1A1A"/>
          <w:sz w:val="21"/>
          <w:szCs w:val="21"/>
        </w:rPr>
        <w:t xml:space="preserve">If realized net losses in a rolling 24-hour window exceed 1% of bankroll, maximum stakes are reduced. At 2%, new entries are paused. At 5%, emergency pause with manual review.</w:t>
      </w:r>
    </w:p>
    <w:p>
      <w:pPr>
        <w:spacing w:after="160" w:line="276"/>
        <w:jc w:val="left"/>
      </w:pPr>
      <w:r>
        <w:rPr>
          <w:rFonts w:ascii="Arial" w:cs="Arial" w:eastAsia="Arial" w:hAnsi="Arial"/>
          <w:b/>
          <w:bCs/>
          <w:color w:val="1A1A1A"/>
          <w:sz w:val="21"/>
          <w:szCs w:val="21"/>
        </w:rPr>
        <w:t xml:space="preserve">Correlation risk awareness: </w:t>
      </w:r>
      <w:r>
        <w:rPr>
          <w:rFonts w:ascii="Arial" w:cs="Arial" w:eastAsia="Arial" w:hAnsi="Arial"/>
          <w:color w:val="1A1A1A"/>
          <w:sz w:val="21"/>
          <w:szCs w:val="21"/>
        </w:rPr>
        <w:t xml:space="preserve">During strong trends, many players may submit similar directional predictions and score well simultaneously. The per-entry cap and concurrent exposure reserve together limit the damage. Over time, the house edge ensures profitability in expectation.</w:t>
      </w:r>
    </w:p>
    <w:p>
      <w:pPr>
        <w:pStyle w:val="Heading2"/>
        <w:spacing w:before="280" w:after="160"/>
      </w:pPr>
      <w:r>
        <w:rPr>
          <w:rFonts w:ascii="Arial" w:cs="Arial" w:eastAsia="Arial" w:hAnsi="Arial"/>
          <w:b/>
          <w:bCs/>
          <w:color w:val="2B5797"/>
          <w:sz w:val="26"/>
          <w:szCs w:val="26"/>
        </w:rPr>
        <w:t xml:space="preserve">7.6 Calibration</w:t>
      </w:r>
    </w:p>
    <w:p>
      <w:pPr>
        <w:spacing w:after="160" w:line="276"/>
        <w:jc w:val="left"/>
      </w:pPr>
      <w:r>
        <w:rPr>
          <w:rFonts w:ascii="Arial" w:cs="Arial" w:eastAsia="Arial" w:hAnsi="Arial"/>
          <w:color w:val="1A1A1A"/>
          <w:sz w:val="21"/>
          <w:szCs w:val="21"/>
        </w:rPr>
        <w:t xml:space="preserve">The payout parameters (h, x_be, alpha, k, M_min, M_max) will be calibrated through large-scale simulation using historical BTC price paths and synthetic player strategies: random drawings, flat lines, trend-followers, mean-reverters, and human-like patterns. The calibration targets are: expected payout remains below (1 − h) across all strategy types, user upside feels attractive (meaningful payouts for genuinely good predictions), and tail risk stays within bankroll limits under adversarial conditions.</w:t>
      </w:r>
    </w:p>
    <w:p>
      <w:pPr>
        <w:pStyle w:val="Heading2"/>
        <w:spacing w:before="280" w:after="160"/>
      </w:pPr>
      <w:r>
        <w:rPr>
          <w:rFonts w:ascii="Arial" w:cs="Arial" w:eastAsia="Arial" w:hAnsi="Arial"/>
          <w:b/>
          <w:bCs/>
          <w:color w:val="2B5797"/>
          <w:sz w:val="26"/>
          <w:szCs w:val="26"/>
        </w:rPr>
        <w:t xml:space="preserve">7.7 Early Cash-Out</w:t>
      </w:r>
    </w:p>
    <w:p>
      <w:pPr>
        <w:spacing w:after="160" w:line="276"/>
        <w:jc w:val="left"/>
      </w:pPr>
      <w:r>
        <w:rPr>
          <w:rFonts w:ascii="Arial" w:cs="Arial" w:eastAsia="Arial" w:hAnsi="Arial"/>
          <w:color w:val="1A1A1A"/>
          <w:sz w:val="21"/>
          <w:szCs w:val="21"/>
        </w:rPr>
        <w:t xml:space="preserve">Early cash-out—allowing a player to exit a round before the timeframe ends—is attractive but introduces a partial-score model that is difficult to calibrate and easy to distrust. If the cash-out value is too generous, it leaks edge; if too stingy, players feel cheated.</w:t>
      </w:r>
    </w:p>
    <w:p>
      <w:pPr>
        <w:spacing w:after="160" w:line="276"/>
        <w:jc w:val="left"/>
      </w:pPr>
      <w:r>
        <w:rPr>
          <w:rFonts w:ascii="Arial" w:cs="Arial" w:eastAsia="Arial" w:hAnsi="Arial"/>
          <w:color w:val="1A1A1A"/>
          <w:sz w:val="21"/>
          <w:szCs w:val="21"/>
        </w:rPr>
        <w:t xml:space="preserve">Recommendation: defer early cash-out to V1.5 or later, after the base scoring and payout systems have established trust. The MVP settles all rounds at horizon end only.</w:t>
      </w:r>
    </w:p>
    <w:p>
      <w:r>
        <w:br w:type="page"/>
      </w:r>
    </w:p>
    <w:p>
      <w:pPr>
        <w:pStyle w:val="Heading1"/>
        <w:spacing w:before="360" w:after="200"/>
      </w:pPr>
      <w:r>
        <w:rPr>
          <w:rFonts w:ascii="Arial" w:cs="Arial" w:eastAsia="Arial" w:hAnsi="Arial"/>
          <w:b/>
          <w:bCs/>
          <w:color w:val="1A1A1A"/>
          <w:sz w:val="32"/>
          <w:szCs w:val="32"/>
        </w:rPr>
        <w:t xml:space="preserve">8. Liquidity Vault (Bankroll)</w:t>
      </w:r>
    </w:p>
    <w:p>
      <w:pPr>
        <w:pStyle w:val="Heading2"/>
        <w:spacing w:before="280" w:after="160"/>
      </w:pPr>
      <w:r>
        <w:rPr>
          <w:rFonts w:ascii="Arial" w:cs="Arial" w:eastAsia="Arial" w:hAnsi="Arial"/>
          <w:b/>
          <w:bCs/>
          <w:color w:val="2B5797"/>
          <w:sz w:val="26"/>
          <w:szCs w:val="26"/>
        </w:rPr>
        <w:t xml:space="preserve">8.1 Purpose</w:t>
      </w:r>
    </w:p>
    <w:p>
      <w:pPr>
        <w:spacing w:after="160" w:line="276"/>
        <w:jc w:val="left"/>
      </w:pPr>
      <w:r>
        <w:rPr>
          <w:rFonts w:ascii="Arial" w:cs="Arial" w:eastAsia="Arial" w:hAnsi="Arial"/>
          <w:color w:val="1A1A1A"/>
          <w:sz w:val="21"/>
          <w:szCs w:val="21"/>
        </w:rPr>
        <w:t xml:space="preserve">DTC requires a bankroll to pay winners. The liquidity vault allows external liquidity providers (LPs) to deposit stablecoin capital (e.g., USDC) and earn yield from the game’s house edge—the aggregate net flow from player losses minus player wins over time.</w:t>
      </w:r>
    </w:p>
    <w:p>
      <w:pPr>
        <w:pStyle w:val="Heading2"/>
        <w:spacing w:before="280" w:after="160"/>
      </w:pPr>
      <w:r>
        <w:rPr>
          <w:rFonts w:ascii="Arial" w:cs="Arial" w:eastAsia="Arial" w:hAnsi="Arial"/>
          <w:b/>
          <w:bCs/>
          <w:color w:val="2B5797"/>
          <w:sz w:val="26"/>
          <w:szCs w:val="26"/>
        </w:rPr>
        <w:t xml:space="preserve">8.2 Mechanics</w:t>
      </w:r>
    </w:p>
    <w:p>
      <w:pPr>
        <w:pStyle w:val="ListParagraph"/>
        <w:numPr>
          <w:ilvl w:val="0"/>
          <w:numId w:val="8"/>
        </w:numPr>
        <w:spacing w:after="80" w:line="276"/>
      </w:pPr>
      <w:r>
        <w:rPr>
          <w:rFonts w:ascii="Arial" w:cs="Arial" w:eastAsia="Arial" w:hAnsi="Arial"/>
          <w:color w:val="1A1A1A"/>
          <w:sz w:val="21"/>
          <w:szCs w:val="21"/>
        </w:rPr>
        <w:t xml:space="preserve">Deposits are denominated in stablecoins.</w:t>
      </w:r>
    </w:p>
    <w:p>
      <w:pPr>
        <w:pStyle w:val="ListParagraph"/>
        <w:numPr>
          <w:ilvl w:val="0"/>
          <w:numId w:val="8"/>
        </w:numPr>
        <w:spacing w:after="80" w:line="276"/>
      </w:pPr>
      <w:r>
        <w:rPr>
          <w:rFonts w:ascii="Arial" w:cs="Arial" w:eastAsia="Arial" w:hAnsi="Arial"/>
          <w:color w:val="1A1A1A"/>
          <w:sz w:val="21"/>
          <w:szCs w:val="21"/>
        </w:rPr>
        <w:t xml:space="preserve">LP shares represent a proportional claim on vault equity (total deposits plus retained earnings minus losses).</w:t>
      </w:r>
    </w:p>
    <w:p>
      <w:pPr>
        <w:pStyle w:val="ListParagraph"/>
        <w:numPr>
          <w:ilvl w:val="0"/>
          <w:numId w:val="8"/>
        </w:numPr>
        <w:spacing w:after="80" w:line="276"/>
      </w:pPr>
      <w:r>
        <w:rPr>
          <w:rFonts w:ascii="Arial" w:cs="Arial" w:eastAsia="Arial" w:hAnsi="Arial"/>
          <w:color w:val="1A1A1A"/>
          <w:sz w:val="21"/>
          <w:szCs w:val="21"/>
        </w:rPr>
        <w:t xml:space="preserve">A withdrawal delay (e.g., 24 hours) reduces bank-run risk following high-variance periods.</w:t>
      </w:r>
    </w:p>
    <w:p>
      <w:pPr>
        <w:pStyle w:val="ListParagraph"/>
        <w:numPr>
          <w:ilvl w:val="0"/>
          <w:numId w:val="8"/>
        </w:numPr>
        <w:spacing w:after="80" w:line="276"/>
      </w:pPr>
      <w:r>
        <w:rPr>
          <w:rFonts w:ascii="Arial" w:cs="Arial" w:eastAsia="Arial" w:hAnsi="Arial"/>
          <w:color w:val="1A1A1A"/>
          <w:sz w:val="21"/>
          <w:szCs w:val="21"/>
        </w:rPr>
        <w:t xml:space="preserve">The risk controls in Section 7.5 protect LPs by capping exposure per entry, per time window, and in total.</w:t>
      </w:r>
    </w:p>
    <w:p>
      <w:pPr>
        <w:pStyle w:val="Heading2"/>
        <w:spacing w:before="280" w:after="160"/>
      </w:pPr>
      <w:r>
        <w:rPr>
          <w:rFonts w:ascii="Arial" w:cs="Arial" w:eastAsia="Arial" w:hAnsi="Arial"/>
          <w:b/>
          <w:bCs/>
          <w:color w:val="2B5797"/>
          <w:sz w:val="26"/>
          <w:szCs w:val="26"/>
        </w:rPr>
        <w:t xml:space="preserve">8.3 Risk Disclosure</w:t>
      </w:r>
    </w:p>
    <w:p>
      <w:pPr>
        <w:spacing w:after="160" w:line="276"/>
        <w:jc w:val="left"/>
      </w:pPr>
      <w:r>
        <w:rPr>
          <w:rFonts w:ascii="Arial" w:cs="Arial" w:eastAsia="Arial" w:hAnsi="Arial"/>
          <w:color w:val="1A1A1A"/>
          <w:sz w:val="21"/>
          <w:szCs w:val="21"/>
        </w:rPr>
        <w:t xml:space="preserve">Providing liquidity to the DTC vault is not risk-free. LPs are exposed to variance risk (player wins are paid from the vault), oracle risk (mispriced oracle data could cause incorrect settlements), smart contract and operational risk, and the possibility that scoring exploits could create systematic edge for sophisticated players. The vault’s expected return is positive in the long run (backed by the house edge), but short-term drawdowns are possible and should be anticipated.</w:t>
      </w:r>
    </w:p>
    <w:p>
      <w:r>
        <w:br w:type="page"/>
      </w:r>
    </w:p>
    <w:p>
      <w:pPr>
        <w:pStyle w:val="Heading1"/>
        <w:spacing w:before="360" w:after="200"/>
      </w:pPr>
      <w:r>
        <w:rPr>
          <w:rFonts w:ascii="Arial" w:cs="Arial" w:eastAsia="Arial" w:hAnsi="Arial"/>
          <w:b/>
          <w:bCs/>
          <w:color w:val="1A1A1A"/>
          <w:sz w:val="32"/>
          <w:szCs w:val="32"/>
        </w:rPr>
        <w:t xml:space="preserve">9. Trust and Verifiability</w:t>
      </w:r>
    </w:p>
    <w:p>
      <w:pPr>
        <w:spacing w:after="160" w:line="276"/>
        <w:jc w:val="left"/>
      </w:pPr>
      <w:r>
        <w:rPr>
          <w:rFonts w:ascii="Arial" w:cs="Arial" w:eastAsia="Arial" w:hAnsi="Arial"/>
          <w:color w:val="1A1A1A"/>
          <w:sz w:val="21"/>
          <w:szCs w:val="21"/>
        </w:rPr>
        <w:t xml:space="preserve">Trust is the most fragile property of any betting product. DTC builds trust through three mechanisms: transparency, commitment, and replayability.</w:t>
      </w:r>
    </w:p>
    <w:p>
      <w:pPr>
        <w:pStyle w:val="Heading2"/>
        <w:spacing w:before="280" w:after="160"/>
      </w:pPr>
      <w:r>
        <w:rPr>
          <w:rFonts w:ascii="Arial" w:cs="Arial" w:eastAsia="Arial" w:hAnsi="Arial"/>
          <w:b/>
          <w:bCs/>
          <w:color w:val="2B5797"/>
          <w:sz w:val="26"/>
          <w:szCs w:val="26"/>
        </w:rPr>
        <w:t xml:space="preserve">9.1 Open-Source Scoring</w:t>
      </w:r>
    </w:p>
    <w:p>
      <w:pPr>
        <w:spacing w:after="160" w:line="276"/>
        <w:jc w:val="left"/>
      </w:pPr>
      <w:r>
        <w:rPr>
          <w:rFonts w:ascii="Arial" w:cs="Arial" w:eastAsia="Arial" w:hAnsi="Arial"/>
          <w:color w:val="1A1A1A"/>
          <w:sz w:val="21"/>
          <w:szCs w:val="21"/>
        </w:rPr>
        <w:t xml:space="preserve">The scoring algorithm is published as open-source code, versioned with semantic versioning. Any change to scoring parameters or logic triggers a new version number and a public changelog. Players and auditors can run the scoring algorithm locally against any round’s data.</w:t>
      </w:r>
    </w:p>
    <w:p>
      <w:pPr>
        <w:pStyle w:val="Heading2"/>
        <w:spacing w:before="280" w:after="160"/>
      </w:pPr>
      <w:r>
        <w:rPr>
          <w:rFonts w:ascii="Arial" w:cs="Arial" w:eastAsia="Arial" w:hAnsi="Arial"/>
          <w:b/>
          <w:bCs/>
          <w:color w:val="2B5797"/>
          <w:sz w:val="26"/>
          <w:szCs w:val="26"/>
        </w:rPr>
        <w:t xml:space="preserve">9.2 Commit-Reveal</w:t>
      </w:r>
    </w:p>
    <w:p>
      <w:pPr>
        <w:spacing w:after="160" w:line="276"/>
        <w:jc w:val="left"/>
      </w:pPr>
      <w:r>
        <w:rPr>
          <w:rFonts w:ascii="Arial" w:cs="Arial" w:eastAsia="Arial" w:hAnsi="Arial"/>
          <w:color w:val="1A1A1A"/>
          <w:sz w:val="21"/>
          <w:szCs w:val="21"/>
        </w:rPr>
        <w:t xml:space="preserve">To prevent tampering with drawings after the round ends, DTC uses a commit-reveal scheme. On submission, the system stores a commitment hash:</w:t>
      </w:r>
    </w:p>
    <w:p>
      <w:pPr>
        <w:spacing w:before="120" w:after="120" w:line="276"/>
        <w:ind w:left="720" w:right="720"/>
        <w:jc w:val="center"/>
      </w:pPr>
      <w:r>
        <w:rPr>
          <w:rFonts w:ascii="Courier New" w:cs="Courier New" w:eastAsia="Courier New" w:hAnsi="Courier New"/>
          <w:color w:val="2B5797"/>
          <w:sz w:val="20"/>
          <w:szCs w:val="20"/>
        </w:rPr>
        <w:t xml:space="preserve">commit = hash(round_id || parameters || drawing_points || salt)</w:t>
      </w:r>
    </w:p>
    <w:p>
      <w:pPr>
        <w:spacing w:after="160" w:line="276"/>
        <w:jc w:val="left"/>
      </w:pPr>
      <w:r>
        <w:rPr>
          <w:rFonts w:ascii="Arial" w:cs="Arial" w:eastAsia="Arial" w:hAnsi="Arial"/>
          <w:color w:val="1A1A1A"/>
          <w:sz w:val="21"/>
          <w:szCs w:val="21"/>
        </w:rPr>
        <w:t xml:space="preserve">At settlement, the drawing points and salt are revealed. Anyone can verify that the commitment matches the revealed data, proving that the drawing was not altered between submission and settlement.</w:t>
      </w:r>
    </w:p>
    <w:p>
      <w:pPr>
        <w:pStyle w:val="Heading2"/>
        <w:spacing w:before="280" w:after="160"/>
      </w:pPr>
      <w:r>
        <w:rPr>
          <w:rFonts w:ascii="Arial" w:cs="Arial" w:eastAsia="Arial" w:hAnsi="Arial"/>
          <w:b/>
          <w:bCs/>
          <w:color w:val="2B5797"/>
          <w:sz w:val="26"/>
          <w:szCs w:val="26"/>
        </w:rPr>
        <w:t xml:space="preserve">9.3 Replayable Settlement</w:t>
      </w:r>
    </w:p>
    <w:p>
      <w:pPr>
        <w:spacing w:after="160" w:line="276"/>
        <w:jc w:val="left"/>
      </w:pPr>
      <w:r>
        <w:rPr>
          <w:rFonts w:ascii="Arial" w:cs="Arial" w:eastAsia="Arial" w:hAnsi="Arial"/>
          <w:color w:val="1A1A1A"/>
          <w:sz w:val="21"/>
          <w:szCs w:val="21"/>
        </w:rPr>
        <w:t xml:space="preserve">Every settled round is independently replayable. A public “Replay Round” page displays the exact oracle series used, the submitted drawing (verified against the commitment), and recomputes the score and payout in the browser. This allows any user or third party to audit any round without trusting the platform’s backend.</w:t>
      </w:r>
    </w:p>
    <w:p>
      <w:pPr>
        <w:pStyle w:val="Heading2"/>
        <w:spacing w:before="280" w:after="160"/>
      </w:pPr>
      <w:r>
        <w:rPr>
          <w:rFonts w:ascii="Arial" w:cs="Arial" w:eastAsia="Arial" w:hAnsi="Arial"/>
          <w:b/>
          <w:bCs/>
          <w:color w:val="2B5797"/>
          <w:sz w:val="26"/>
          <w:szCs w:val="26"/>
        </w:rPr>
        <w:t xml:space="preserve">9.4 Sandbox Mode</w:t>
      </w:r>
    </w:p>
    <w:p>
      <w:pPr>
        <w:spacing w:after="160" w:line="276"/>
        <w:jc w:val="left"/>
      </w:pPr>
      <w:r>
        <w:rPr>
          <w:rFonts w:ascii="Arial" w:cs="Arial" w:eastAsia="Arial" w:hAnsi="Arial"/>
          <w:color w:val="1A1A1A"/>
          <w:sz w:val="21"/>
          <w:szCs w:val="21"/>
        </w:rPr>
        <w:t xml:space="preserve">A free sandbox mode allows players to submit drawings against live or historical data without staking real money. The sandbox uses the same scoring algorithm as the real-money mode, serving as both a tutorial and a trust-building mechanism. Players can see how the scoring works, what scores different drawing strategies produce, and build confidence before risking funds.</w:t>
      </w:r>
    </w:p>
    <w:p>
      <w:r>
        <w:br w:type="page"/>
      </w:r>
    </w:p>
    <w:p>
      <w:pPr>
        <w:pStyle w:val="Heading1"/>
        <w:spacing w:before="360" w:after="200"/>
      </w:pPr>
      <w:r>
        <w:rPr>
          <w:rFonts w:ascii="Arial" w:cs="Arial" w:eastAsia="Arial" w:hAnsi="Arial"/>
          <w:b/>
          <w:bCs/>
          <w:color w:val="1A1A1A"/>
          <w:sz w:val="32"/>
          <w:szCs w:val="32"/>
        </w:rPr>
        <w:t xml:space="preserve">10. Security and Anti-Cheat</w:t>
      </w:r>
    </w:p>
    <w:p>
      <w:pPr>
        <w:pStyle w:val="Heading2"/>
        <w:spacing w:before="280" w:after="160"/>
      </w:pPr>
      <w:r>
        <w:rPr>
          <w:rFonts w:ascii="Arial" w:cs="Arial" w:eastAsia="Arial" w:hAnsi="Arial"/>
          <w:b/>
          <w:bCs/>
          <w:color w:val="2B5797"/>
          <w:sz w:val="26"/>
          <w:szCs w:val="26"/>
        </w:rPr>
        <w:t xml:space="preserve">10.1 Threat Model</w:t>
      </w:r>
    </w:p>
    <w:p>
      <w:pPr>
        <w:spacing w:after="160" w:line="276"/>
        <w:jc w:val="left"/>
      </w:pPr>
      <w:r>
        <w:rPr>
          <w:rFonts w:ascii="Arial" w:cs="Arial" w:eastAsia="Arial" w:hAnsi="Arial"/>
          <w:color w:val="1A1A1A"/>
          <w:sz w:val="21"/>
          <w:szCs w:val="21"/>
        </w:rPr>
        <w:t xml:space="preserve">DTC assumes adversarial behavior. The primary threat categories are:</w:t>
      </w:r>
    </w:p>
    <w:p>
      <w:pPr>
        <w:pStyle w:val="ListParagraph"/>
        <w:numPr>
          <w:ilvl w:val="0"/>
          <w:numId w:val="9"/>
        </w:numPr>
        <w:spacing w:after="80" w:line="276"/>
      </w:pPr>
      <w:r>
        <w:rPr>
          <w:rFonts w:ascii="Arial" w:cs="Arial" w:eastAsia="Arial" w:hAnsi="Arial"/>
          <w:color w:val="1A1A1A"/>
          <w:sz w:val="21"/>
          <w:szCs w:val="21"/>
        </w:rPr>
        <w:t xml:space="preserve">Scoring exploits: adversarial drawings designed to trigger edge cases in the scoring algorithm for unearned high scores. This is the highest-priority threat.</w:t>
      </w:r>
    </w:p>
    <w:p>
      <w:pPr>
        <w:pStyle w:val="ListParagraph"/>
        <w:numPr>
          <w:ilvl w:val="0"/>
          <w:numId w:val="9"/>
        </w:numPr>
        <w:spacing w:after="80" w:line="276"/>
      </w:pPr>
      <w:r>
        <w:rPr>
          <w:rFonts w:ascii="Arial" w:cs="Arial" w:eastAsia="Arial" w:hAnsi="Arial"/>
          <w:color w:val="1A1A1A"/>
          <w:sz w:val="21"/>
          <w:szCs w:val="21"/>
        </w:rPr>
        <w:t xml:space="preserve">Oracle manipulation: attempts to move the underlying market price to improve a prediction’s score. Mitigated by the multi-venue index and TWAP sampling.</w:t>
      </w:r>
    </w:p>
    <w:p>
      <w:pPr>
        <w:pStyle w:val="ListParagraph"/>
        <w:numPr>
          <w:ilvl w:val="0"/>
          <w:numId w:val="9"/>
        </w:numPr>
        <w:spacing w:after="80" w:line="276"/>
      </w:pPr>
      <w:r>
        <w:rPr>
          <w:rFonts w:ascii="Arial" w:cs="Arial" w:eastAsia="Arial" w:hAnsi="Arial"/>
          <w:color w:val="1A1A1A"/>
          <w:sz w:val="21"/>
          <w:szCs w:val="21"/>
        </w:rPr>
        <w:t xml:space="preserve">Bot probing: automated submission of many drawings to discover scoring vulnerabilities. Mitigated by rate limiting, stake requirements, and the house edge (each probe costs real money).</w:t>
      </w:r>
    </w:p>
    <w:p>
      <w:pPr>
        <w:pStyle w:val="ListParagraph"/>
        <w:numPr>
          <w:ilvl w:val="0"/>
          <w:numId w:val="9"/>
        </w:numPr>
        <w:spacing w:after="80" w:line="276"/>
      </w:pPr>
      <w:r>
        <w:rPr>
          <w:rFonts w:ascii="Arial" w:cs="Arial" w:eastAsia="Arial" w:hAnsi="Arial"/>
          <w:color w:val="1A1A1A"/>
          <w:sz w:val="21"/>
          <w:szCs w:val="21"/>
        </w:rPr>
        <w:t xml:space="preserve">Multi-accounting: creating multiple accounts to exploit freeroll rewards or promotional offers. Mitigated by requiring minimum real-money volume for promotional eligibility.</w:t>
      </w:r>
    </w:p>
    <w:p>
      <w:pPr>
        <w:pStyle w:val="Heading2"/>
        <w:spacing w:before="280" w:after="160"/>
      </w:pPr>
      <w:r>
        <w:rPr>
          <w:rFonts w:ascii="Arial" w:cs="Arial" w:eastAsia="Arial" w:hAnsi="Arial"/>
          <w:b/>
          <w:bCs/>
          <w:color w:val="2B5797"/>
          <w:sz w:val="26"/>
          <w:szCs w:val="26"/>
        </w:rPr>
        <w:t xml:space="preserve">10.2 Mitigations</w:t>
      </w:r>
    </w:p>
    <w:p>
      <w:pPr>
        <w:pStyle w:val="ListParagraph"/>
        <w:numPr>
          <w:ilvl w:val="0"/>
          <w:numId w:val="10"/>
        </w:numPr>
        <w:spacing w:after="80" w:line="276"/>
      </w:pPr>
      <w:r>
        <w:rPr>
          <w:rFonts w:ascii="Arial" w:cs="Arial" w:eastAsia="Arial" w:hAnsi="Arial"/>
          <w:color w:val="1A1A1A"/>
          <w:sz w:val="21"/>
          <w:szCs w:val="21"/>
        </w:rPr>
        <w:t xml:space="preserve">Strict input constraints and control-point limits in MVP (Section 6.6).</w:t>
      </w:r>
    </w:p>
    <w:p>
      <w:pPr>
        <w:pStyle w:val="ListParagraph"/>
        <w:numPr>
          <w:ilvl w:val="0"/>
          <w:numId w:val="10"/>
        </w:numPr>
        <w:spacing w:after="80" w:line="276"/>
      </w:pPr>
      <w:r>
        <w:rPr>
          <w:rFonts w:ascii="Arial" w:cs="Arial" w:eastAsia="Arial" w:hAnsi="Arial"/>
          <w:color w:val="1A1A1A"/>
          <w:sz w:val="21"/>
          <w:szCs w:val="21"/>
        </w:rPr>
        <w:t xml:space="preserve">Rate limiting, web application firewall, and bot detection.</w:t>
      </w:r>
    </w:p>
    <w:p>
      <w:pPr>
        <w:pStyle w:val="ListParagraph"/>
        <w:numPr>
          <w:ilvl w:val="0"/>
          <w:numId w:val="10"/>
        </w:numPr>
        <w:spacing w:after="80" w:line="276"/>
      </w:pPr>
      <w:r>
        <w:rPr>
          <w:rFonts w:ascii="Arial" w:cs="Arial" w:eastAsia="Arial" w:hAnsi="Arial"/>
          <w:color w:val="1A1A1A"/>
          <w:sz w:val="21"/>
          <w:szCs w:val="21"/>
        </w:rPr>
        <w:t xml:space="preserve">Bug bounty program focused specifically on scoring exploit discovery.</w:t>
      </w:r>
    </w:p>
    <w:p>
      <w:pPr>
        <w:pStyle w:val="ListParagraph"/>
        <w:numPr>
          <w:ilvl w:val="0"/>
          <w:numId w:val="10"/>
        </w:numPr>
        <w:spacing w:after="80" w:line="276"/>
      </w:pPr>
      <w:r>
        <w:rPr>
          <w:rFonts w:ascii="Arial" w:cs="Arial" w:eastAsia="Arial" w:hAnsi="Arial"/>
          <w:color w:val="1A1A1A"/>
          <w:sz w:val="21"/>
          <w:szCs w:val="21"/>
        </w:rPr>
        <w:t xml:space="preserve">Canary releases: new scoring versions launch with reduced maximum stakes until confidence is established.</w:t>
      </w:r>
    </w:p>
    <w:p>
      <w:pPr>
        <w:pStyle w:val="ListParagraph"/>
        <w:numPr>
          <w:ilvl w:val="0"/>
          <w:numId w:val="10"/>
        </w:numPr>
        <w:spacing w:after="80" w:line="276"/>
      </w:pPr>
      <w:r>
        <w:rPr>
          <w:rFonts w:ascii="Arial" w:cs="Arial" w:eastAsia="Arial" w:hAnsi="Arial"/>
          <w:color w:val="1A1A1A"/>
          <w:sz w:val="21"/>
          <w:szCs w:val="21"/>
        </w:rPr>
        <w:t xml:space="preserve">Sandbox mode is separate from real-money mode to prevent sandbox-derived exploits from having financial impact.</w:t>
      </w:r>
    </w:p>
    <w:p>
      <w:r>
        <w:br w:type="page"/>
      </w:r>
    </w:p>
    <w:p>
      <w:pPr>
        <w:pStyle w:val="Heading1"/>
        <w:spacing w:before="360" w:after="200"/>
      </w:pPr>
      <w:r>
        <w:rPr>
          <w:rFonts w:ascii="Arial" w:cs="Arial" w:eastAsia="Arial" w:hAnsi="Arial"/>
          <w:b/>
          <w:bCs/>
          <w:color w:val="1A1A1A"/>
          <w:sz w:val="32"/>
          <w:szCs w:val="32"/>
        </w:rPr>
        <w:t xml:space="preserve">11. Compliance and Responsible Use</w:t>
      </w:r>
    </w:p>
    <w:p>
      <w:pPr>
        <w:spacing w:after="160" w:line="276"/>
        <w:jc w:val="left"/>
      </w:pPr>
      <w:r>
        <w:rPr>
          <w:rFonts w:ascii="Arial" w:cs="Arial" w:eastAsia="Arial" w:hAnsi="Arial"/>
          <w:color w:val="1A1A1A"/>
          <w:sz w:val="21"/>
          <w:szCs w:val="21"/>
        </w:rPr>
        <w:t xml:space="preserve">DTC is a gambling-adjacent product. A production launch requires jurisdiction-aware compliance. This section outlines the relevant considerations without prescribing a specific legal structure, which must be evaluated with qualified counsel.</w:t>
      </w:r>
    </w:p>
    <w:p>
      <w:pPr>
        <w:spacing w:after="160" w:line="276"/>
        <w:jc w:val="left"/>
      </w:pPr>
      <w:r>
        <w:rPr>
          <w:rFonts w:ascii="Arial" w:cs="Arial" w:eastAsia="Arial" w:hAnsi="Arial"/>
          <w:b/>
          <w:bCs/>
          <w:color w:val="1A1A1A"/>
          <w:sz w:val="21"/>
          <w:szCs w:val="21"/>
        </w:rPr>
        <w:t xml:space="preserve">Regulatory positioning: </w:t>
      </w:r>
      <w:r>
        <w:rPr>
          <w:rFonts w:ascii="Arial" w:cs="Arial" w:eastAsia="Arial" w:hAnsi="Arial"/>
          <w:color w:val="1A1A1A"/>
          <w:sz w:val="21"/>
          <w:szCs w:val="21"/>
        </w:rPr>
        <w:t xml:space="preserve">DTC is structurally a house-backed wagering game with a skill component. Depending on jurisdiction, it may be classified as online gambling, a prediction market, or a novel category. The regulatory treatment will determine licensing requirements, KYC obligations, and geographic availability.</w:t>
      </w:r>
    </w:p>
    <w:p>
      <w:pPr>
        <w:spacing w:after="160" w:line="276"/>
        <w:jc w:val="left"/>
      </w:pPr>
      <w:r>
        <w:rPr>
          <w:rFonts w:ascii="Arial" w:cs="Arial" w:eastAsia="Arial" w:hAnsi="Arial"/>
          <w:b/>
          <w:bCs/>
          <w:color w:val="1A1A1A"/>
          <w:sz w:val="21"/>
          <w:szCs w:val="21"/>
        </w:rPr>
        <w:t xml:space="preserve">Geo-blocking: </w:t>
      </w:r>
      <w:r>
        <w:rPr>
          <w:rFonts w:ascii="Arial" w:cs="Arial" w:eastAsia="Arial" w:hAnsi="Arial"/>
          <w:color w:val="1A1A1A"/>
          <w:sz w:val="21"/>
          <w:szCs w:val="21"/>
        </w:rPr>
        <w:t xml:space="preserve">Restricted jurisdictions will be blocked at the application level, consistent with standard practice across crypto gambling and perpetual exchange platforms.</w:t>
      </w:r>
    </w:p>
    <w:p>
      <w:pPr>
        <w:spacing w:after="160" w:line="276"/>
        <w:jc w:val="left"/>
      </w:pPr>
      <w:r>
        <w:rPr>
          <w:rFonts w:ascii="Arial" w:cs="Arial" w:eastAsia="Arial" w:hAnsi="Arial"/>
          <w:b/>
          <w:bCs/>
          <w:color w:val="1A1A1A"/>
          <w:sz w:val="21"/>
          <w:szCs w:val="21"/>
        </w:rPr>
        <w:t xml:space="preserve">Age gating: </w:t>
      </w:r>
      <w:r>
        <w:rPr>
          <w:rFonts w:ascii="Arial" w:cs="Arial" w:eastAsia="Arial" w:hAnsi="Arial"/>
          <w:color w:val="1A1A1A"/>
          <w:sz w:val="21"/>
          <w:szCs w:val="21"/>
        </w:rPr>
        <w:t xml:space="preserve">A soft 18+ attestation gate will be implemented without KYC at launch. Stronger age verification (requiring KYC or third-party checks) may be added depending on regulatory requirements.</w:t>
      </w:r>
    </w:p>
    <w:p>
      <w:pPr>
        <w:spacing w:after="160" w:line="276"/>
        <w:jc w:val="left"/>
      </w:pPr>
      <w:r>
        <w:rPr>
          <w:rFonts w:ascii="Arial" w:cs="Arial" w:eastAsia="Arial" w:hAnsi="Arial"/>
          <w:b/>
          <w:bCs/>
          <w:color w:val="1A1A1A"/>
          <w:sz w:val="21"/>
          <w:szCs w:val="21"/>
        </w:rPr>
        <w:t xml:space="preserve">Responsible use: </w:t>
      </w:r>
      <w:r>
        <w:rPr>
          <w:rFonts w:ascii="Arial" w:cs="Arial" w:eastAsia="Arial" w:hAnsi="Arial"/>
          <w:color w:val="1A1A1A"/>
          <w:sz w:val="21"/>
          <w:szCs w:val="21"/>
        </w:rPr>
        <w:t xml:space="preserve">The product will include clear risk disclosures, optional self-exclusion controls, and loss-limit options. The sandbox mode serves as a pressure-free onboarding path.</w:t>
      </w:r>
    </w:p>
    <w:p>
      <w:r>
        <w:br w:type="page"/>
      </w:r>
    </w:p>
    <w:p>
      <w:pPr>
        <w:pStyle w:val="Heading1"/>
        <w:spacing w:before="360" w:after="200"/>
      </w:pPr>
      <w:r>
        <w:rPr>
          <w:rFonts w:ascii="Arial" w:cs="Arial" w:eastAsia="Arial" w:hAnsi="Arial"/>
          <w:b/>
          <w:bCs/>
          <w:color w:val="1A1A1A"/>
          <w:sz w:val="32"/>
          <w:szCs w:val="32"/>
        </w:rPr>
        <w:t xml:space="preserve">12. Token</w:t>
      </w:r>
    </w:p>
    <w:p>
      <w:pPr>
        <w:spacing w:after="160" w:line="276"/>
        <w:jc w:val="left"/>
      </w:pPr>
      <w:r>
        <w:rPr>
          <w:rFonts w:ascii="Arial" w:cs="Arial" w:eastAsia="Arial" w:hAnsi="Arial"/>
          <w:color w:val="1A1A1A"/>
          <w:sz w:val="21"/>
          <w:szCs w:val="21"/>
        </w:rPr>
        <w:t xml:space="preserve">A token is not required for DTC to function. The core product—stablecoin staking, deterministic scoring, house-backed payouts, and an LP vault—works without a native token. Stablecoin-only operation is credible and often preferable in early stages, as it avoids the perception of forced tokenomics.</w:t>
      </w:r>
    </w:p>
    <w:p>
      <w:pPr>
        <w:spacing w:after="160" w:line="276"/>
        <w:jc w:val="left"/>
      </w:pPr>
      <w:r>
        <w:rPr>
          <w:rFonts w:ascii="Arial" w:cs="Arial" w:eastAsia="Arial" w:hAnsi="Arial"/>
          <w:color w:val="1A1A1A"/>
          <w:sz w:val="21"/>
          <w:szCs w:val="21"/>
        </w:rPr>
        <w:t xml:space="preserve">If a token is introduced, it must have clear, bounded utility: LP incentives, fee discounts, access to special game modes or tournaments, or governance over non-critical parameters. A token that exists solely for speculation weakens the product’s credibility. The recommendation is to defer any token decision until product-market fit is demonstrated.</w:t>
      </w:r>
    </w:p>
    <w:p>
      <w:pPr>
        <w:pStyle w:val="Heading1"/>
        <w:spacing w:before="360" w:after="200"/>
      </w:pPr>
      <w:r>
        <w:rPr>
          <w:rFonts w:ascii="Arial" w:cs="Arial" w:eastAsia="Arial" w:hAnsi="Arial"/>
          <w:b/>
          <w:bCs/>
          <w:color w:val="1A1A1A"/>
          <w:sz w:val="32"/>
          <w:szCs w:val="32"/>
        </w:rPr>
        <w:t xml:space="preserve">13. Roadmap</w:t>
      </w:r>
    </w:p>
    <w:p>
      <w:pPr>
        <w:pStyle w:val="Heading2"/>
        <w:spacing w:before="280" w:after="160"/>
      </w:pPr>
      <w:r>
        <w:rPr>
          <w:rFonts w:ascii="Arial" w:cs="Arial" w:eastAsia="Arial" w:hAnsi="Arial"/>
          <w:b/>
          <w:bCs/>
          <w:color w:val="2B5797"/>
          <w:sz w:val="26"/>
          <w:szCs w:val="26"/>
        </w:rPr>
        <w:t xml:space="preserve">MVP</w:t>
      </w:r>
    </w:p>
    <w:p>
      <w:pPr>
        <w:pStyle w:val="ListParagraph"/>
        <w:numPr>
          <w:ilvl w:val="0"/>
          <w:numId w:val="11"/>
        </w:numPr>
        <w:spacing w:after="80" w:line="276"/>
      </w:pPr>
      <w:r>
        <w:rPr>
          <w:rFonts w:ascii="Arial" w:cs="Arial" w:eastAsia="Arial" w:hAnsi="Arial"/>
          <w:color w:val="1A1A1A"/>
          <w:sz w:val="21"/>
          <w:szCs w:val="21"/>
        </w:rPr>
        <w:t xml:space="preserve">BTC only, fixed timeframes (15m / 1h / 6h / 24h / 7d).</w:t>
      </w:r>
    </w:p>
    <w:p>
      <w:pPr>
        <w:pStyle w:val="ListParagraph"/>
        <w:numPr>
          <w:ilvl w:val="0"/>
          <w:numId w:val="11"/>
        </w:numPr>
        <w:spacing w:after="80" w:line="276"/>
      </w:pPr>
      <w:r>
        <w:rPr>
          <w:rFonts w:ascii="Arial" w:cs="Arial" w:eastAsia="Arial" w:hAnsi="Arial"/>
          <w:color w:val="1A1A1A"/>
          <w:sz w:val="21"/>
          <w:szCs w:val="21"/>
        </w:rPr>
        <w:t xml:space="preserve">Control-point drawing with linearly interpolated paths.</w:t>
      </w:r>
    </w:p>
    <w:p>
      <w:pPr>
        <w:pStyle w:val="ListParagraph"/>
        <w:numPr>
          <w:ilvl w:val="0"/>
          <w:numId w:val="11"/>
        </w:numPr>
        <w:spacing w:after="80" w:line="276"/>
      </w:pPr>
      <w:r>
        <w:rPr>
          <w:rFonts w:ascii="Arial" w:cs="Arial" w:eastAsia="Arial" w:hAnsi="Arial"/>
          <w:color w:val="1A1A1A"/>
          <w:sz w:val="21"/>
          <w:szCs w:val="21"/>
        </w:rPr>
        <w:t xml:space="preserve">Scoring v1.0 with published baseline distributions.</w:t>
      </w:r>
    </w:p>
    <w:p>
      <w:pPr>
        <w:pStyle w:val="ListParagraph"/>
        <w:numPr>
          <w:ilvl w:val="0"/>
          <w:numId w:val="11"/>
        </w:numPr>
        <w:spacing w:after="80" w:line="276"/>
      </w:pPr>
      <w:r>
        <w:rPr>
          <w:rFonts w:ascii="Arial" w:cs="Arial" w:eastAsia="Arial" w:hAnsi="Arial"/>
          <w:color w:val="1A1A1A"/>
          <w:sz w:val="21"/>
          <w:szCs w:val="21"/>
        </w:rPr>
        <w:t xml:space="preserve">Deterministic payout curve, no difficulty adjustment.</w:t>
      </w:r>
    </w:p>
    <w:p>
      <w:pPr>
        <w:pStyle w:val="ListParagraph"/>
        <w:numPr>
          <w:ilvl w:val="0"/>
          <w:numId w:val="11"/>
        </w:numPr>
        <w:spacing w:after="80" w:line="276"/>
      </w:pPr>
      <w:r>
        <w:rPr>
          <w:rFonts w:ascii="Arial" w:cs="Arial" w:eastAsia="Arial" w:hAnsi="Arial"/>
          <w:color w:val="1A1A1A"/>
          <w:sz w:val="21"/>
          <w:szCs w:val="21"/>
        </w:rPr>
        <w:t xml:space="preserve">Sandbox mode with full scoring transparency.</w:t>
      </w:r>
    </w:p>
    <w:p>
      <w:pPr>
        <w:pStyle w:val="ListParagraph"/>
        <w:numPr>
          <w:ilvl w:val="0"/>
          <w:numId w:val="11"/>
        </w:numPr>
        <w:spacing w:after="80" w:line="276"/>
      </w:pPr>
      <w:r>
        <w:rPr>
          <w:rFonts w:ascii="Arial" w:cs="Arial" w:eastAsia="Arial" w:hAnsi="Arial"/>
          <w:color w:val="1A1A1A"/>
          <w:sz w:val="21"/>
          <w:szCs w:val="21"/>
        </w:rPr>
        <w:t xml:space="preserve">Bankroll cap, per-entry stake limits, circuit breakers.</w:t>
      </w:r>
    </w:p>
    <w:p>
      <w:pPr>
        <w:pStyle w:val="ListParagraph"/>
        <w:numPr>
          <w:ilvl w:val="0"/>
          <w:numId w:val="11"/>
        </w:numPr>
        <w:spacing w:after="80" w:line="276"/>
      </w:pPr>
      <w:r>
        <w:rPr>
          <w:rFonts w:ascii="Arial" w:cs="Arial" w:eastAsia="Arial" w:hAnsi="Arial"/>
          <w:color w:val="1A1A1A"/>
          <w:sz w:val="21"/>
          <w:szCs w:val="21"/>
        </w:rPr>
        <w:t xml:space="preserve">Offchain scoring with commit-reveal and replayable settlement.</w:t>
      </w:r>
    </w:p>
    <w:p>
      <w:pPr>
        <w:pStyle w:val="Heading2"/>
        <w:spacing w:before="280" w:after="160"/>
      </w:pPr>
      <w:r>
        <w:rPr>
          <w:rFonts w:ascii="Arial" w:cs="Arial" w:eastAsia="Arial" w:hAnsi="Arial"/>
          <w:b/>
          <w:bCs/>
          <w:color w:val="2B5797"/>
          <w:sz w:val="26"/>
          <w:szCs w:val="26"/>
        </w:rPr>
        <w:t xml:space="preserve">V1</w:t>
      </w:r>
    </w:p>
    <w:p>
      <w:pPr>
        <w:pStyle w:val="ListParagraph"/>
        <w:numPr>
          <w:ilvl w:val="0"/>
          <w:numId w:val="12"/>
        </w:numPr>
        <w:spacing w:after="80" w:line="276"/>
      </w:pPr>
      <w:r>
        <w:rPr>
          <w:rFonts w:ascii="Arial" w:cs="Arial" w:eastAsia="Arial" w:hAnsi="Arial"/>
          <w:color w:val="1A1A1A"/>
          <w:sz w:val="21"/>
          <w:szCs w:val="21"/>
        </w:rPr>
        <w:t xml:space="preserve">Add ETH, SOL, and select high-liquidity tokens.</w:t>
      </w:r>
    </w:p>
    <w:p>
      <w:pPr>
        <w:pStyle w:val="ListParagraph"/>
        <w:numPr>
          <w:ilvl w:val="0"/>
          <w:numId w:val="12"/>
        </w:numPr>
        <w:spacing w:after="80" w:line="276"/>
      </w:pPr>
      <w:r>
        <w:rPr>
          <w:rFonts w:ascii="Arial" w:cs="Arial" w:eastAsia="Arial" w:hAnsi="Arial"/>
          <w:color w:val="1A1A1A"/>
          <w:sz w:val="21"/>
          <w:szCs w:val="21"/>
        </w:rPr>
        <w:t xml:space="preserve">Pre-round difficulty signal (Option B) based on trailing volatility.</w:t>
      </w:r>
    </w:p>
    <w:p>
      <w:pPr>
        <w:pStyle w:val="ListParagraph"/>
        <w:numPr>
          <w:ilvl w:val="0"/>
          <w:numId w:val="12"/>
        </w:numPr>
        <w:spacing w:after="80" w:line="276"/>
      </w:pPr>
      <w:r>
        <w:rPr>
          <w:rFonts w:ascii="Arial" w:cs="Arial" w:eastAsia="Arial" w:hAnsi="Arial"/>
          <w:color w:val="1A1A1A"/>
          <w:sz w:val="21"/>
          <w:szCs w:val="21"/>
        </w:rPr>
        <w:t xml:space="preserve">Liquidity vault with LP deposits and withdrawal delay.</w:t>
      </w:r>
    </w:p>
    <w:p>
      <w:pPr>
        <w:pStyle w:val="ListParagraph"/>
        <w:numPr>
          <w:ilvl w:val="0"/>
          <w:numId w:val="12"/>
        </w:numPr>
        <w:spacing w:after="80" w:line="276"/>
      </w:pPr>
      <w:r>
        <w:rPr>
          <w:rFonts w:ascii="Arial" w:cs="Arial" w:eastAsia="Arial" w:hAnsi="Arial"/>
          <w:color w:val="1A1A1A"/>
          <w:sz w:val="21"/>
          <w:szCs w:val="21"/>
        </w:rPr>
        <w:t xml:space="preserve">Public transparency dashboard (vault equity, round statistics, score distributions).</w:t>
      </w:r>
    </w:p>
    <w:p>
      <w:pPr>
        <w:pStyle w:val="ListParagraph"/>
        <w:numPr>
          <w:ilvl w:val="0"/>
          <w:numId w:val="12"/>
        </w:numPr>
        <w:spacing w:after="80" w:line="276"/>
      </w:pPr>
      <w:r>
        <w:rPr>
          <w:rFonts w:ascii="Arial" w:cs="Arial" w:eastAsia="Arial" w:hAnsi="Arial"/>
          <w:color w:val="1A1A1A"/>
          <w:sz w:val="21"/>
          <w:szCs w:val="21"/>
        </w:rPr>
        <w:t xml:space="preserve">Improved calibration via expanded historical simulation.</w:t>
      </w:r>
    </w:p>
    <w:p>
      <w:pPr>
        <w:pStyle w:val="Heading2"/>
        <w:spacing w:before="280" w:after="160"/>
      </w:pPr>
      <w:r>
        <w:rPr>
          <w:rFonts w:ascii="Arial" w:cs="Arial" w:eastAsia="Arial" w:hAnsi="Arial"/>
          <w:b/>
          <w:bCs/>
          <w:color w:val="2B5797"/>
          <w:sz w:val="26"/>
          <w:szCs w:val="26"/>
        </w:rPr>
        <w:t xml:space="preserve">V2</w:t>
      </w:r>
    </w:p>
    <w:p>
      <w:pPr>
        <w:pStyle w:val="ListParagraph"/>
        <w:numPr>
          <w:ilvl w:val="0"/>
          <w:numId w:val="13"/>
        </w:numPr>
        <w:spacing w:after="80" w:line="276"/>
      </w:pPr>
      <w:r>
        <w:rPr>
          <w:rFonts w:ascii="Arial" w:cs="Arial" w:eastAsia="Arial" w:hAnsi="Arial"/>
          <w:color w:val="1A1A1A"/>
          <w:sz w:val="21"/>
          <w:szCs w:val="21"/>
        </w:rPr>
        <w:t xml:space="preserve">Social features: share drawings, comment on rounds, leaderboards.</w:t>
      </w:r>
    </w:p>
    <w:p>
      <w:pPr>
        <w:pStyle w:val="ListParagraph"/>
        <w:numPr>
          <w:ilvl w:val="0"/>
          <w:numId w:val="13"/>
        </w:numPr>
        <w:spacing w:after="80" w:line="276"/>
      </w:pPr>
      <w:r>
        <w:rPr>
          <w:rFonts w:ascii="Arial" w:cs="Arial" w:eastAsia="Arial" w:hAnsi="Arial"/>
          <w:color w:val="1A1A1A"/>
          <w:sz w:val="21"/>
          <w:szCs w:val="21"/>
        </w:rPr>
        <w:t xml:space="preserve">PvP tournaments and friend duels.</w:t>
      </w:r>
    </w:p>
    <w:p>
      <w:pPr>
        <w:pStyle w:val="ListParagraph"/>
        <w:numPr>
          <w:ilvl w:val="0"/>
          <w:numId w:val="13"/>
        </w:numPr>
        <w:spacing w:after="80" w:line="276"/>
      </w:pPr>
      <w:r>
        <w:rPr>
          <w:rFonts w:ascii="Arial" w:cs="Arial" w:eastAsia="Arial" w:hAnsi="Arial"/>
          <w:color w:val="1A1A1A"/>
          <w:sz w:val="21"/>
          <w:szCs w:val="21"/>
        </w:rPr>
        <w:t xml:space="preserve">Mobile application.</w:t>
      </w:r>
    </w:p>
    <w:p>
      <w:pPr>
        <w:pStyle w:val="ListParagraph"/>
        <w:numPr>
          <w:ilvl w:val="0"/>
          <w:numId w:val="13"/>
        </w:numPr>
        <w:spacing w:after="80" w:line="276"/>
      </w:pPr>
      <w:r>
        <w:rPr>
          <w:rFonts w:ascii="Arial" w:cs="Arial" w:eastAsia="Arial" w:hAnsi="Arial"/>
          <w:color w:val="1A1A1A"/>
          <w:sz w:val="21"/>
          <w:szCs w:val="21"/>
        </w:rPr>
        <w:t xml:space="preserve">Onchain commitments and stronger verifiability.</w:t>
      </w:r>
    </w:p>
    <w:p>
      <w:pPr>
        <w:pStyle w:val="ListParagraph"/>
        <w:numPr>
          <w:ilvl w:val="0"/>
          <w:numId w:val="13"/>
        </w:numPr>
        <w:spacing w:after="80" w:line="276"/>
      </w:pPr>
      <w:r>
        <w:rPr>
          <w:rFonts w:ascii="Arial" w:cs="Arial" w:eastAsia="Arial" w:hAnsi="Arial"/>
          <w:color w:val="1A1A1A"/>
          <w:sz w:val="21"/>
          <w:szCs w:val="21"/>
        </w:rPr>
        <w:t xml:space="preserve">Freehand drawing mode (after scoring robustness is proven).</w:t>
      </w:r>
    </w:p>
    <w:p>
      <w:r>
        <w:br w:type="page"/>
      </w:r>
    </w:p>
    <w:p>
      <w:pPr>
        <w:pStyle w:val="Heading1"/>
        <w:spacing w:before="360" w:after="200"/>
      </w:pPr>
      <w:r>
        <w:rPr>
          <w:rFonts w:ascii="Arial" w:cs="Arial" w:eastAsia="Arial" w:hAnsi="Arial"/>
          <w:b/>
          <w:bCs/>
          <w:color w:val="1A1A1A"/>
          <w:sz w:val="32"/>
          <w:szCs w:val="32"/>
        </w:rPr>
        <w:t xml:space="preserve">14. Key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Risk</w:t>
            </w:r>
          </w:p>
        </w:tc>
        <w:tc>
          <w:tcPr>
            <w:tcW w:type="dxa" w:w="351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Mitigation</w:t>
            </w:r>
          </w:p>
        </w:tc>
        <w:tc>
          <w:tcPr>
            <w:tcW w:type="dxa" w:w="351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Residual Risk</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House insolvency from variance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Per-entry caps, concurrent exposure reserves, layered circuit breakers, calibrated payout curve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Extreme correlated wins in unprecedented market conditions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Scoring feels like a black box</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Open-source scoring, replayable rounds, sandbox mode, published baselines, score breakdown per component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Casual users may still not read documentation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Adversarial drawings exploit scoring</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Control-point constraints, slope caps, spacing rules, bug bounty, canary releases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Novel exploits discovered after launch</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Oracle manipulation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Multi-venue index, robust aggregation, TWAP sampling, refunds on oracle failure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Coordinated manipulation across multiple venues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Start-time information advantage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Discrete tick start, frozen chart, drawing time limit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Residual latency advantage within tick window</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Regulatory action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Geo-blocking, legal counsel, jurisdiction-aware deployment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Evolving regulatory landscape</w:t>
            </w:r>
          </w:p>
        </w:tc>
      </w:tr>
    </w:tbl>
    <w:p>
      <w:r>
        <w:br w:type="page"/>
      </w:r>
    </w:p>
    <w:p>
      <w:pPr>
        <w:pStyle w:val="Heading1"/>
        <w:spacing w:before="360" w:after="200"/>
      </w:pPr>
      <w:r>
        <w:rPr>
          <w:rFonts w:ascii="Arial" w:cs="Arial" w:eastAsia="Arial" w:hAnsi="Arial"/>
          <w:b/>
          <w:bCs/>
          <w:color w:val="1A1A1A"/>
          <w:sz w:val="32"/>
          <w:szCs w:val="32"/>
        </w:rPr>
        <w:t xml:space="preserve">Appendix A: Open Parameters</w:t>
      </w:r>
    </w:p>
    <w:p>
      <w:pPr>
        <w:spacing w:after="160" w:line="276"/>
        <w:jc w:val="left"/>
      </w:pPr>
      <w:r>
        <w:rPr>
          <w:rFonts w:ascii="Arial" w:cs="Arial" w:eastAsia="Arial" w:hAnsi="Arial"/>
          <w:color w:val="1A1A1A"/>
          <w:sz w:val="21"/>
          <w:szCs w:val="21"/>
        </w:rPr>
        <w:t xml:space="preserve">The following parameters are intentionally left open and must be finalized through backtesting, simulation, and UX testing:</w:t>
      </w:r>
    </w:p>
    <w:p>
      <w:pPr>
        <w:pStyle w:val="ListParagraph"/>
        <w:numPr>
          <w:ilvl w:val="0"/>
          <w:numId w:val="2"/>
        </w:numPr>
        <w:spacing w:after="80" w:line="276"/>
      </w:pPr>
      <w:r>
        <w:rPr>
          <w:rFonts w:ascii="Arial" w:cs="Arial" w:eastAsia="Arial" w:hAnsi="Arial"/>
          <w:color w:val="1A1A1A"/>
          <w:sz w:val="21"/>
          <w:szCs w:val="21"/>
        </w:rPr>
        <w:t xml:space="preserve">Oracle venue set and aggregation method.</w:t>
      </w:r>
    </w:p>
    <w:p>
      <w:pPr>
        <w:pStyle w:val="ListParagraph"/>
        <w:numPr>
          <w:ilvl w:val="0"/>
          <w:numId w:val="2"/>
        </w:numPr>
        <w:spacing w:after="80" w:line="276"/>
      </w:pPr>
      <w:r>
        <w:rPr>
          <w:rFonts w:ascii="Arial" w:cs="Arial" w:eastAsia="Arial" w:hAnsi="Arial"/>
          <w:color w:val="1A1A1A"/>
          <w:sz w:val="21"/>
          <w:szCs w:val="21"/>
        </w:rPr>
        <w:t xml:space="preserve">Payout curve parameters: h, x_be, M_min, M_max, alpha, k.</w:t>
      </w:r>
    </w:p>
    <w:p>
      <w:pPr>
        <w:pStyle w:val="ListParagraph"/>
        <w:numPr>
          <w:ilvl w:val="0"/>
          <w:numId w:val="2"/>
        </w:numPr>
        <w:spacing w:after="80" w:line="276"/>
      </w:pPr>
      <w:r>
        <w:rPr>
          <w:rFonts w:ascii="Arial" w:cs="Arial" w:eastAsia="Arial" w:hAnsi="Arial"/>
          <w:color w:val="1A1A1A"/>
          <w:sz w:val="21"/>
          <w:szCs w:val="21"/>
        </w:rPr>
        <w:t xml:space="preserve">Scoring parameters: λ, w_b, w_t, μ, smoothing kernel width, prominence threshold.</w:t>
      </w:r>
    </w:p>
    <w:p>
      <w:pPr>
        <w:pStyle w:val="ListParagraph"/>
        <w:numPr>
          <w:ilvl w:val="0"/>
          <w:numId w:val="2"/>
        </w:numPr>
        <w:spacing w:after="80" w:line="276"/>
      </w:pPr>
      <w:r>
        <w:rPr>
          <w:rFonts w:ascii="Arial" w:cs="Arial" w:eastAsia="Arial" w:hAnsi="Arial"/>
          <w:color w:val="1A1A1A"/>
          <w:sz w:val="21"/>
          <w:szCs w:val="21"/>
        </w:rPr>
        <w:t xml:space="preserve">Drawing time limit W and start tick interval.</w:t>
      </w:r>
    </w:p>
    <w:p>
      <w:pPr>
        <w:pStyle w:val="ListParagraph"/>
        <w:numPr>
          <w:ilvl w:val="0"/>
          <w:numId w:val="2"/>
        </w:numPr>
        <w:spacing w:after="80" w:line="276"/>
      </w:pPr>
      <w:r>
        <w:rPr>
          <w:rFonts w:ascii="Arial" w:cs="Arial" w:eastAsia="Arial" w:hAnsi="Arial"/>
          <w:color w:val="1A1A1A"/>
          <w:sz w:val="21"/>
          <w:szCs w:val="21"/>
        </w:rPr>
        <w:t xml:space="preserve">Bankroll fraction limits: L_entry, concurrent exposure threshold, circuit breaker thresholds.</w:t>
      </w:r>
    </w:p>
    <w:p>
      <w:pPr>
        <w:pStyle w:val="ListParagraph"/>
        <w:numPr>
          <w:ilvl w:val="0"/>
          <w:numId w:val="2"/>
        </w:numPr>
        <w:spacing w:after="80" w:line="276"/>
      </w:pPr>
      <w:r>
        <w:rPr>
          <w:rFonts w:ascii="Arial" w:cs="Arial" w:eastAsia="Arial" w:hAnsi="Arial"/>
          <w:color w:val="1A1A1A"/>
          <w:sz w:val="21"/>
          <w:szCs w:val="21"/>
        </w:rPr>
        <w:t xml:space="preserve">Whether difficulty adjustment (Option B) is included at launch.</w:t>
      </w:r>
    </w:p>
    <w:p>
      <w:pPr>
        <w:spacing w:after="200"/>
      </w:pPr>
    </w:p>
    <w:p>
      <w:pPr>
        <w:pStyle w:val="Heading1"/>
        <w:spacing w:before="360" w:after="200"/>
      </w:pPr>
      <w:r>
        <w:rPr>
          <w:rFonts w:ascii="Arial" w:cs="Arial" w:eastAsia="Arial" w:hAnsi="Arial"/>
          <w:b/>
          <w:bCs/>
          <w:color w:val="1A1A1A"/>
          <w:sz w:val="32"/>
          <w:szCs w:val="32"/>
        </w:rPr>
        <w:t xml:space="preserve">Appendix B: Preliminary Parameter Defaults</w:t>
      </w:r>
    </w:p>
    <w:p>
      <w:pPr>
        <w:spacing w:after="160" w:line="276"/>
        <w:jc w:val="left"/>
      </w:pPr>
      <w:r>
        <w:rPr>
          <w:rFonts w:ascii="Arial" w:cs="Arial" w:eastAsia="Arial" w:hAnsi="Arial"/>
          <w:color w:val="1A1A1A"/>
          <w:sz w:val="21"/>
          <w:szCs w:val="21"/>
        </w:rPr>
        <w:t xml:space="preserve">The following values are coherent starting points for simulation, not locked design choices:</w:t>
      </w:r>
    </w:p>
    <w:p>
      <w:pPr>
        <w:pStyle w:val="ListParagraph"/>
        <w:numPr>
          <w:ilvl w:val="0"/>
          <w:numId w:val="4"/>
        </w:numPr>
        <w:spacing w:after="80" w:line="276"/>
      </w:pPr>
      <w:r>
        <w:rPr>
          <w:rFonts w:ascii="Arial" w:cs="Arial" w:eastAsia="Arial" w:hAnsi="Arial"/>
          <w:color w:val="1A1A1A"/>
          <w:sz w:val="21"/>
          <w:szCs w:val="21"/>
        </w:rPr>
        <w:t xml:space="preserve">House edge h: 2%</w:t>
      </w:r>
    </w:p>
    <w:p>
      <w:pPr>
        <w:pStyle w:val="ListParagraph"/>
        <w:numPr>
          <w:ilvl w:val="0"/>
          <w:numId w:val="4"/>
        </w:numPr>
        <w:spacing w:after="80" w:line="276"/>
      </w:pPr>
      <w:r>
        <w:rPr>
          <w:rFonts w:ascii="Arial" w:cs="Arial" w:eastAsia="Arial" w:hAnsi="Arial"/>
          <w:color w:val="1A1A1A"/>
          <w:sz w:val="21"/>
          <w:szCs w:val="21"/>
        </w:rPr>
        <w:t xml:space="preserve">Break-even score x_be: 0.62</w:t>
      </w:r>
    </w:p>
    <w:p>
      <w:pPr>
        <w:pStyle w:val="ListParagraph"/>
        <w:numPr>
          <w:ilvl w:val="0"/>
          <w:numId w:val="4"/>
        </w:numPr>
        <w:spacing w:after="80" w:line="276"/>
      </w:pPr>
      <w:r>
        <w:rPr>
          <w:rFonts w:ascii="Arial" w:cs="Arial" w:eastAsia="Arial" w:hAnsi="Arial"/>
          <w:color w:val="1A1A1A"/>
          <w:sz w:val="21"/>
          <w:szCs w:val="21"/>
        </w:rPr>
        <w:t xml:space="preserve">Minimum multiplier M_min: 0.30×</w:t>
      </w:r>
    </w:p>
    <w:p>
      <w:pPr>
        <w:pStyle w:val="ListParagraph"/>
        <w:numPr>
          <w:ilvl w:val="0"/>
          <w:numId w:val="4"/>
        </w:numPr>
        <w:spacing w:after="80" w:line="276"/>
      </w:pPr>
      <w:r>
        <w:rPr>
          <w:rFonts w:ascii="Arial" w:cs="Arial" w:eastAsia="Arial" w:hAnsi="Arial"/>
          <w:color w:val="1A1A1A"/>
          <w:sz w:val="21"/>
          <w:szCs w:val="21"/>
        </w:rPr>
        <w:t xml:space="preserve">Refund exponent alpha: 1.8</w:t>
      </w:r>
    </w:p>
    <w:p>
      <w:pPr>
        <w:pStyle w:val="ListParagraph"/>
        <w:numPr>
          <w:ilvl w:val="0"/>
          <w:numId w:val="4"/>
        </w:numPr>
        <w:spacing w:after="80" w:line="276"/>
      </w:pPr>
      <w:r>
        <w:rPr>
          <w:rFonts w:ascii="Arial" w:cs="Arial" w:eastAsia="Arial" w:hAnsi="Arial"/>
          <w:color w:val="1A1A1A"/>
          <w:sz w:val="21"/>
          <w:szCs w:val="21"/>
        </w:rPr>
        <w:t xml:space="preserve">Hard cap M_max: 50×</w:t>
      </w:r>
    </w:p>
    <w:p>
      <w:pPr>
        <w:pStyle w:val="ListParagraph"/>
        <w:numPr>
          <w:ilvl w:val="0"/>
          <w:numId w:val="4"/>
        </w:numPr>
        <w:spacing w:after="80" w:line="276"/>
      </w:pPr>
      <w:r>
        <w:rPr>
          <w:rFonts w:ascii="Arial" w:cs="Arial" w:eastAsia="Arial" w:hAnsi="Arial"/>
          <w:color w:val="1A1A1A"/>
          <w:sz w:val="21"/>
          <w:szCs w:val="21"/>
        </w:rPr>
        <w:t xml:space="preserve">Profit growth k: 3.93</w:t>
      </w:r>
    </w:p>
    <w:p>
      <w:pPr>
        <w:pStyle w:val="ListParagraph"/>
        <w:numPr>
          <w:ilvl w:val="0"/>
          <w:numId w:val="4"/>
        </w:numPr>
        <w:spacing w:after="80" w:line="276"/>
      </w:pPr>
      <w:r>
        <w:rPr>
          <w:rFonts w:ascii="Arial" w:cs="Arial" w:eastAsia="Arial" w:hAnsi="Arial"/>
          <w:color w:val="1A1A1A"/>
          <w:sz w:val="21"/>
          <w:szCs w:val="21"/>
        </w:rPr>
        <w:t xml:space="preserve">Per-entry max payout cap: min(stake × M_max, 0.15% of bankroll)</w:t>
      </w:r>
    </w:p>
    <w:p>
      <w:pPr>
        <w:pStyle w:val="ListParagraph"/>
        <w:numPr>
          <w:ilvl w:val="0"/>
          <w:numId w:val="4"/>
        </w:numPr>
        <w:spacing w:after="80" w:line="276"/>
      </w:pPr>
      <w:r>
        <w:rPr>
          <w:rFonts w:ascii="Arial" w:cs="Arial" w:eastAsia="Arial" w:hAnsi="Arial"/>
          <w:color w:val="1A1A1A"/>
          <w:sz w:val="21"/>
          <w:szCs w:val="21"/>
        </w:rPr>
        <w:t xml:space="preserve">Daily circuit breaker: pause new entries if net loss exceeds 2% of bankroll in rolling 24h</w:t>
      </w:r>
    </w:p>
    <w:p>
      <w:pPr>
        <w:spacing w:after="200"/>
      </w:pPr>
    </w:p>
    <w:p>
      <w:pPr>
        <w:pStyle w:val="Heading1"/>
        <w:spacing w:before="360" w:after="200"/>
      </w:pPr>
      <w:r>
        <w:rPr>
          <w:rFonts w:ascii="Arial" w:cs="Arial" w:eastAsia="Arial" w:hAnsi="Arial"/>
          <w:b/>
          <w:bCs/>
          <w:color w:val="1A1A1A"/>
          <w:sz w:val="32"/>
          <w:szCs w:val="32"/>
        </w:rPr>
        <w:t xml:space="preserve">Appendix C: Concept Extensions</w:t>
      </w:r>
    </w:p>
    <w:p>
      <w:pPr>
        <w:spacing w:after="160" w:line="276"/>
        <w:jc w:val="left"/>
      </w:pPr>
      <w:r>
        <w:rPr>
          <w:rFonts w:ascii="Arial" w:cs="Arial" w:eastAsia="Arial" w:hAnsi="Arial"/>
          <w:color w:val="1A1A1A"/>
          <w:sz w:val="21"/>
          <w:szCs w:val="21"/>
        </w:rPr>
        <w:t xml:space="preserve">The following features are considered for future versions but are not part of the MVP scope:</w:t>
      </w:r>
    </w:p>
    <w:p>
      <w:pPr>
        <w:pStyle w:val="ListParagraph"/>
        <w:numPr>
          <w:ilvl w:val="0"/>
          <w:numId w:val="6"/>
        </w:numPr>
        <w:spacing w:after="80" w:line="276"/>
      </w:pPr>
      <w:r>
        <w:rPr>
          <w:rFonts w:ascii="Arial" w:cs="Arial" w:eastAsia="Arial" w:hAnsi="Arial"/>
          <w:color w:val="1A1A1A"/>
          <w:sz w:val="21"/>
          <w:szCs w:val="21"/>
        </w:rPr>
        <w:t xml:space="preserve">Freehand drawing mode with polyline resampling and smoothing.</w:t>
      </w:r>
    </w:p>
    <w:p>
      <w:pPr>
        <w:pStyle w:val="ListParagraph"/>
        <w:numPr>
          <w:ilvl w:val="0"/>
          <w:numId w:val="6"/>
        </w:numPr>
        <w:spacing w:after="80" w:line="276"/>
      </w:pPr>
      <w:r>
        <w:rPr>
          <w:rFonts w:ascii="Arial" w:cs="Arial" w:eastAsia="Arial" w:hAnsi="Arial"/>
          <w:color w:val="1A1A1A"/>
          <w:sz w:val="21"/>
          <w:szCs w:val="21"/>
        </w:rPr>
        <w:t xml:space="preserve">Candle-mode or wick-prediction mode.</w:t>
      </w:r>
    </w:p>
    <w:p>
      <w:pPr>
        <w:pStyle w:val="ListParagraph"/>
        <w:numPr>
          <w:ilvl w:val="0"/>
          <w:numId w:val="6"/>
        </w:numPr>
        <w:spacing w:after="80" w:line="276"/>
      </w:pPr>
      <w:r>
        <w:rPr>
          <w:rFonts w:ascii="Arial" w:cs="Arial" w:eastAsia="Arial" w:hAnsi="Arial"/>
          <w:color w:val="1A1A1A"/>
          <w:sz w:val="21"/>
          <w:szCs w:val="21"/>
        </w:rPr>
        <w:t xml:space="preserve">PvP pool-based tournaments and scheduled events.</w:t>
      </w:r>
    </w:p>
    <w:p>
      <w:pPr>
        <w:pStyle w:val="ListParagraph"/>
        <w:numPr>
          <w:ilvl w:val="0"/>
          <w:numId w:val="6"/>
        </w:numPr>
        <w:spacing w:after="80" w:line="276"/>
      </w:pPr>
      <w:r>
        <w:rPr>
          <w:rFonts w:ascii="Arial" w:cs="Arial" w:eastAsia="Arial" w:hAnsi="Arial"/>
          <w:color w:val="1A1A1A"/>
          <w:sz w:val="21"/>
          <w:szCs w:val="21"/>
        </w:rPr>
        <w:t xml:space="preserve">Friend duels (private matches).</w:t>
      </w:r>
    </w:p>
    <w:p>
      <w:pPr>
        <w:pStyle w:val="ListParagraph"/>
        <w:numPr>
          <w:ilvl w:val="0"/>
          <w:numId w:val="6"/>
        </w:numPr>
        <w:spacing w:after="80" w:line="276"/>
      </w:pPr>
      <w:r>
        <w:rPr>
          <w:rFonts w:ascii="Arial" w:cs="Arial" w:eastAsia="Arial" w:hAnsi="Arial"/>
          <w:color w:val="1A1A1A"/>
          <w:sz w:val="21"/>
          <w:szCs w:val="21"/>
        </w:rPr>
        <w:t xml:space="preserve">Constrained modes: 3-point or 5-point drawings for fast, simplified play.</w:t>
      </w:r>
    </w:p>
    <w:p>
      <w:pPr>
        <w:pStyle w:val="ListParagraph"/>
        <w:numPr>
          <w:ilvl w:val="0"/>
          <w:numId w:val="6"/>
        </w:numPr>
        <w:spacing w:after="80" w:line="276"/>
      </w:pPr>
      <w:r>
        <w:rPr>
          <w:rFonts w:ascii="Arial" w:cs="Arial" w:eastAsia="Arial" w:hAnsi="Arial"/>
          <w:color w:val="1A1A1A"/>
          <w:sz w:val="21"/>
          <w:szCs w:val="21"/>
        </w:rPr>
        <w:t xml:space="preserve">Points program, optional token incentives, and airdrop mechanics.</w:t>
      </w:r>
    </w:p>
    <w:p>
      <w:pPr>
        <w:pStyle w:val="ListParagraph"/>
        <w:numPr>
          <w:ilvl w:val="0"/>
          <w:numId w:val="6"/>
        </w:numPr>
        <w:spacing w:after="80" w:line="276"/>
      </w:pPr>
      <w:r>
        <w:rPr>
          <w:rFonts w:ascii="Arial" w:cs="Arial" w:eastAsia="Arial" w:hAnsi="Arial"/>
          <w:color w:val="1A1A1A"/>
          <w:sz w:val="21"/>
          <w:szCs w:val="21"/>
        </w:rPr>
        <w:t xml:space="preserve">Sponsored freerolls and partner integrations.</w:t>
      </w:r>
    </w:p>
    <w:p>
      <w:pPr>
        <w:pStyle w:val="ListParagraph"/>
        <w:numPr>
          <w:ilvl w:val="0"/>
          <w:numId w:val="6"/>
        </w:numPr>
        <w:spacing w:after="80" w:line="276"/>
      </w:pPr>
      <w:r>
        <w:rPr>
          <w:rFonts w:ascii="Arial" w:cs="Arial" w:eastAsia="Arial" w:hAnsi="Arial"/>
          <w:color w:val="1A1A1A"/>
          <w:sz w:val="21"/>
          <w:szCs w:val="21"/>
        </w:rPr>
        <w:t xml:space="preserve">API access for advanced users (deferred; partially conflicts with the drawing-as-interaction ethos).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Draw The Chart — Whitepaper v0.2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14"/>
    <w:lvlOverride w:ilvl="0">
      <w:startOverride w:val="1"/>
    </w:lvlOverride>
  </w:num>
  <w:num w:numId="4">
    <w:abstractNumId w:val="3"/>
    <w:lvlOverride w:ilvl="0">
      <w:startOverride w:val="1"/>
    </w:lvlOverride>
  </w:num>
  <w:num w:numId="5">
    <w:abstractNumId w:val="13"/>
    <w:lvlOverride w:ilvl="0">
      <w:startOverride w:val="1"/>
    </w:lvlOverride>
  </w:num>
  <w:num w:numId="6">
    <w:abstractNumId w:val="4"/>
    <w:lvlOverride w:ilvl="0">
      <w:startOverride w:val="1"/>
    </w:lvlOverride>
  </w:num>
  <w:num w:numId="7">
    <w:abstractNumId w:val="5"/>
    <w:lvlOverride w:ilvl="0">
      <w:startOverride w:val="1"/>
    </w:lvlOverride>
  </w:num>
  <w:num w:numId="8">
    <w:abstractNumId w:val="6"/>
    <w:lvlOverride w:ilvl="0">
      <w:startOverride w:val="1"/>
    </w:lvlOverride>
  </w:num>
  <w:num w:numId="9">
    <w:abstractNumId w:val="7"/>
    <w:lvlOverride w:ilvl="0">
      <w:startOverride w:val="1"/>
    </w:lvlOverride>
  </w:num>
  <w:num w:numId="10">
    <w:abstractNumId w:val="8"/>
    <w:lvlOverride w:ilvl="0">
      <w:startOverride w:val="1"/>
    </w:lvlOverride>
  </w:num>
  <w:num w:numId="11">
    <w:abstractNumId w:val="9"/>
    <w:lvlOverride w:ilvl="0">
      <w:startOverride w:val="1"/>
    </w:lvlOverride>
  </w:num>
  <w:num w:numId="12">
    <w:abstractNumId w:val="10"/>
    <w:lvlOverride w:ilvl="0">
      <w:startOverride w:val="1"/>
    </w:lvlOverride>
  </w:num>
  <w:num w:numId="13">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1A"/>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B579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2026-02-27T21:40:05.135Z</dcterms:created>
  <dcterms:modified xsi:type="dcterms:W3CDTF">2026-02-27T21:40:05.136Z</dcterms:modified>
</cp:coreProperties>
</file>

<file path=docProps/custom.xml><?xml version="1.0" encoding="utf-8"?>
<Properties xmlns="http://schemas.openxmlformats.org/officeDocument/2006/custom-properties" xmlns:vt="http://schemas.openxmlformats.org/officeDocument/2006/docPropsVTypes"/>
</file>