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Winter kit inventory and distribution tracker</w:t>
      </w:r>
    </w:p>
    <w:p>
      <w:pPr>
        <w:pStyle w:val="Subtitle"/>
      </w:pPr>
      <w:r>
        <w:t xml:space="preserve">Implementation configuration runbook</w:t>
      </w:r>
    </w:p>
    <w:p>
      <w:r>
        <w:t xml:space="preserve">TechBridge Consulting | FICTIONAL SAMPLE ONLY</w:t>
      </w:r>
    </w:p>
    <w:p>
      <w:r>
        <w:t xml:space="preserve">Organization: Twin Cities Housing Alliance</w:t>
      </w:r>
    </w:p>
    <w:p>
      <w:r>
        <w:t xml:space="preserve">Project: Winter kit inventory and distribution tracker</w:t>
      </w:r>
    </w:p>
    <w:p>
      <w:r>
        <w:t xml:space="preserve">Provider: Maya Patel</w:t>
      </w:r>
    </w:p>
    <w:p>
      <w:r>
        <w:t xml:space="preserve">Document status: Completed sample</w:t>
      </w:r>
    </w:p>
    <w:p>
      <w:r>
        <w:t xml:space="preserve">Version: 1.0 | Example date: October 17, 2026</w:t>
      </w:r>
    </w:p>
    <w:p>
      <w:r>
        <w:t xml:space="preserve">No real beneficiary information, credentials or account records are included.</w:t>
      </w:r>
    </w:p>
    <w:p>
      <w:pPr>
        <w:pStyle w:val="Heading1"/>
      </w:pPr>
      <w:r>
        <w:t xml:space="preserve">Scope</w:t>
      </w:r>
    </w:p>
    <w:p>
      <w:r>
        <w:t xml:space="preserve">Winter kit inventory and distribution tracker. Preserve existing organizational tools and use only synthetic data for this demonstration.</w:t>
      </w:r>
    </w:p>
    <w:p>
      <w:pPr>
        <w:pStyle w:val="Heading1"/>
      </w:pPr>
      <w:r>
        <w:t xml:space="preserve">Inventory configuration</w:t>
      </w:r>
    </w:p>
    <w:p>
      <w:r>
        <w:t xml:space="preserve">Track item codes, stock counts and distribution batches without storing housing histories.</w:t>
      </w:r>
    </w:p>
    <w:p>
      <w:pPr>
        <w:pStyle w:val="Heading1"/>
      </w:pPr>
      <w:r>
        <w:t xml:space="preserve">Import validation</w:t>
      </w:r>
    </w:p>
    <w:p>
      <w:r>
        <w:t xml:space="preserve">Review duplicate item codes before importing approved inventory. Reconcile totals against the initial count.</w:t>
      </w:r>
    </w:p>
    <w:p>
      <w:pPr>
        <w:pStyle w:val="Heading1"/>
      </w:pPr>
      <w:r>
        <w:t xml:space="preserve">Distribution workflow</w:t>
      </w:r>
    </w:p>
    <w:p>
      <w:r>
        <w:t xml:space="preserve">Scan the kit code, select the distribution batch and reduce stock once. Flag repeated scans for coordinator review.</w:t>
      </w:r>
    </w:p>
    <w:p>
      <w:pPr>
        <w:pStyle w:val="Heading1"/>
      </w:pPr>
      <w:r>
        <w:t xml:space="preserve">Acceptance checks</w:t>
      </w:r>
    </w:p>
    <w:p>
      <w:r>
        <w:t xml:space="preserve">Test stock reconciliation, low-stock alerts and aggregate distribution reports using synthetic records for 85 residents.</w:t>
      </w:r>
    </w:p>
    <w:p>
      <w:pPr>
        <w:pStyle w:val="Heading1"/>
      </w:pPr>
      <w:r>
        <w:t xml:space="preserve">Handoff status</w:t>
      </w:r>
    </w:p>
    <w:p>
      <w:r>
        <w:t xml:space="preserve">Both parties confirmed this fictional project. The coordinator owns access review, stock reconciliation and ongoing support escalation.</w:t>
      </w:r>
    </w:p>
    <w:p>
      <w:pPr>
        <w:pStyle w:val="Heading1"/>
      </w:pPr>
      <w:r>
        <w:t xml:space="preserve">Ownership</w:t>
      </w:r>
    </w:p>
    <w:p>
      <w:r>
        <w:t xml:space="preserve">The operations coordinator approves access and records configuration changes. The selected contractor supports the period agreed in the sample proposal.</w:t>
      </w:r>
    </w:p>
    <w:p>
      <w:pPr>
        <w:pStyle w:val="Heading1"/>
      </w:pPr>
      <w:r>
        <w:t xml:space="preserve">Acceptance evidence</w:t>
      </w:r>
    </w:p>
    <w:p>
      <w:r>
        <w:t xml:space="preserve">Record expected and observed results, reviewer role and date for each test. Sample narratives do not constitute production test evidence.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Subtitle">
    <w:name w:val="Subtitle"/>
    <w:rPr>
      <w:b/>
      <w:sz w:val="26"/>
    </w:rPr>
  </w:style>
  <w:style w:type="paragraph" w:styleId="Heading1">
    <w:name w:val="Heading1"/>
    <w:rPr>
      <w:b/>
      <w:sz w:val="28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