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Workshop booking and private intake</w:t>
      </w:r>
    </w:p>
    <w:p>
      <w:pPr>
        <w:pStyle w:val="Subtitle"/>
      </w:pPr>
      <w:r>
        <w:t xml:space="preserve">Implementation configuration runbook</w:t>
      </w:r>
    </w:p>
    <w:p>
      <w:r>
        <w:t xml:space="preserve">TechBridge Consulting | FICTIONAL SAMPLE ONLY</w:t>
      </w:r>
    </w:p>
    <w:p>
      <w:r>
        <w:t xml:space="preserve">Organization: Northside Legal Aid Clinic</w:t>
      </w:r>
    </w:p>
    <w:p>
      <w:r>
        <w:t xml:space="preserve">Project: Workshop booking and private intake</w:t>
      </w:r>
    </w:p>
    <w:p>
      <w:r>
        <w:t xml:space="preserve">Provider: Maya Patel</w:t>
      </w:r>
    </w:p>
    <w:p>
      <w:r>
        <w:t xml:space="preserve">Document status: Awaiting organization review</w:t>
      </w:r>
    </w:p>
    <w:p>
      <w:r>
        <w:t xml:space="preserve">Version: 1.0 | Example date: October 17, 2026</w:t>
      </w:r>
    </w:p>
    <w:p>
      <w:r>
        <w:t xml:space="preserve">No real beneficiary information, credentials or account records are included.</w:t>
      </w:r>
    </w:p>
    <w:p>
      <w:pPr>
        <w:pStyle w:val="Heading1"/>
      </w:pPr>
      <w:r>
        <w:t xml:space="preserve">Scope</w:t>
      </w:r>
    </w:p>
    <w:p>
      <w:r>
        <w:t xml:space="preserve">Workshop booking and private intake. Preserve existing organizational tools and use only synthetic data for this demonstration.</w:t>
      </w:r>
    </w:p>
    <w:p>
      <w:pPr>
        <w:pStyle w:val="Heading1"/>
      </w:pPr>
      <w:r>
        <w:t xml:space="preserve">Separate workflows</w:t>
      </w:r>
    </w:p>
    <w:p>
      <w:r>
        <w:t xml:space="preserve">Keep bilingual public workshop registration separate from restricted follow-up intake. Do not collect legal case details in public registration.</w:t>
      </w:r>
    </w:p>
    <w:p>
      <w:pPr>
        <w:pStyle w:val="Heading1"/>
      </w:pPr>
      <w:r>
        <w:t xml:space="preserve">Permissions</w:t>
      </w:r>
    </w:p>
    <w:p>
      <w:r>
        <w:t xml:space="preserve">Limit private intake to approved clinic staff. Test a public user, a workshop volunteer and an authorized staff role using synthetic records.</w:t>
      </w:r>
    </w:p>
    <w:p>
      <w:pPr>
        <w:pStyle w:val="Heading1"/>
      </w:pPr>
      <w:r>
        <w:t xml:space="preserve">Accessibility review</w:t>
      </w:r>
    </w:p>
    <w:p>
      <w:r>
        <w:t xml:space="preserve">Test keyboard navigation, form labels and English/Spanish registration copy before release.</w:t>
      </w:r>
    </w:p>
    <w:p>
      <w:pPr>
        <w:pStyle w:val="Heading1"/>
      </w:pPr>
      <w:r>
        <w:t xml:space="preserve">Retention review</w:t>
      </w:r>
    </w:p>
    <w:p>
      <w:r>
        <w:t xml:space="preserve">Clinic approval of a retention schedule remains a follow-up item; no automatic deletion period is asserted in this sample.</w:t>
      </w:r>
    </w:p>
    <w:p>
      <w:pPr>
        <w:pStyle w:val="Heading1"/>
      </w:pPr>
      <w:r>
        <w:t xml:space="preserve">Handoff status</w:t>
      </w:r>
    </w:p>
    <w:p>
      <w:r>
        <w:t xml:space="preserve">The contractor has confirmed the sample handoff; organization confirmation remains pending. Confirmation is not a legal compliance certification.</w:t>
      </w:r>
    </w:p>
    <w:p>
      <w:pPr>
        <w:pStyle w:val="Heading1"/>
      </w:pPr>
      <w:r>
        <w:t xml:space="preserve">Ownership</w:t>
      </w:r>
    </w:p>
    <w:p>
      <w:r>
        <w:t xml:space="preserve">The operations coordinator approves access and records configuration changes. The selected contractor supports the period agreed in the sample proposal.</w:t>
      </w:r>
    </w:p>
    <w:p>
      <w:pPr>
        <w:pStyle w:val="Heading1"/>
      </w:pPr>
      <w:r>
        <w:t xml:space="preserve">Acceptance evidence</w:t>
      </w:r>
    </w:p>
    <w:p>
      <w:r>
        <w:t xml:space="preserve">Record expected and observed results, reviewer role and date for each test. Sample narratives do not constitute production test evidence.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Subtitle">
    <w:name w:val="Subtitle"/>
    <w:rPr>
      <w:b/>
      <w:sz w:val="26"/>
    </w:rPr>
  </w:style>
  <w:style w:type="paragraph" w:styleId="Heading1">
    <w:name w:val="Heading1"/>
    <w:rPr>
      <w:b/>
      <w:sz w:val="2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