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Secure mobile-team connectivity</w:t>
      </w:r>
    </w:p>
    <w:p>
      <w:pPr>
        <w:pStyle w:val="Subtitle"/>
      </w:pPr>
      <w:r>
        <w:t xml:space="preserve">Implementation configuration runbook</w:t>
      </w:r>
    </w:p>
    <w:p>
      <w:r>
        <w:t xml:space="preserve">TechBridge Consulting | FICTIONAL SAMPLE ONLY</w:t>
      </w:r>
    </w:p>
    <w:p>
      <w:r>
        <w:t xml:space="preserve">Organization: Hope Health Access Initiative</w:t>
      </w:r>
    </w:p>
    <w:p>
      <w:r>
        <w:t xml:space="preserve">Project: Secure mobile-team connectivity</w:t>
      </w:r>
    </w:p>
    <w:p>
      <w:r>
        <w:t xml:space="preserve">Provider: Sofia Nguyen</w:t>
      </w:r>
    </w:p>
    <w:p>
      <w:r>
        <w:t xml:space="preserve">Document status: Completed sample</w:t>
      </w:r>
    </w:p>
    <w:p>
      <w:r>
        <w:t xml:space="preserve">Version: 1.0 | Example date: October 17, 2026</w:t>
      </w:r>
    </w:p>
    <w:p>
      <w:r>
        <w:t xml:space="preserve">No real beneficiary information, credentials or account records are included.</w:t>
      </w:r>
    </w:p>
    <w:p>
      <w:pPr>
        <w:pStyle w:val="Heading1"/>
      </w:pPr>
      <w:r>
        <w:t xml:space="preserve">Scope</w:t>
      </w:r>
    </w:p>
    <w:p>
      <w:r>
        <w:t xml:space="preserve">Secure mobile-team connectivity. Preserve existing organizational tools and use only synthetic data for this demonstration.</w:t>
      </w:r>
    </w:p>
    <w:p>
      <w:pPr>
        <w:pStyle w:val="Heading1"/>
      </w:pPr>
      <w:r>
        <w:t xml:space="preserve">Device preparation</w:t>
      </w:r>
    </w:p>
    <w:p>
      <w:r>
        <w:t xml:space="preserve">Configure managed mobile routers and staff tablets for three teams. Record device labels only; no patient records belong in this document.</w:t>
      </w:r>
    </w:p>
    <w:p>
      <w:pPr>
        <w:pStyle w:val="Heading1"/>
      </w:pPr>
      <w:r>
        <w:t xml:space="preserve">Secure access</w:t>
      </w:r>
    </w:p>
    <w:p>
      <w:r>
        <w:t xml:space="preserve">Require organization accounts and two-factor sign-in. Remove lost-device access using the approved device-management process.</w:t>
      </w:r>
    </w:p>
    <w:p>
      <w:pPr>
        <w:pStyle w:val="Heading1"/>
      </w:pPr>
      <w:r>
        <w:t xml:space="preserve">Daily setup</w:t>
      </w:r>
    </w:p>
    <w:p>
      <w:r>
        <w:t xml:space="preserve">Check power, router signal and device updates before each session. Verify access with synthetic test data.</w:t>
      </w:r>
    </w:p>
    <w:p>
      <w:pPr>
        <w:pStyle w:val="Heading1"/>
      </w:pPr>
      <w:r>
        <w:t xml:space="preserve">Recovery drill</w:t>
      </w:r>
    </w:p>
    <w:p>
      <w:r>
        <w:t xml:space="preserve">Test connectivity loss and reconnect steps. Stop sensitive work on unapproved networks; escalate through the coordinator.</w:t>
      </w:r>
    </w:p>
    <w:p>
      <w:pPr>
        <w:pStyle w:val="Heading1"/>
      </w:pPr>
      <w:r>
        <w:t xml:space="preserve">Handoff status</w:t>
      </w:r>
    </w:p>
    <w:p>
      <w:r>
        <w:t xml:space="preserve">Both parties confirmed this fictional project. This document is a connectivity example, not evidence of HIPAA compliance.</w:t>
      </w:r>
    </w:p>
    <w:p>
      <w:pPr>
        <w:pStyle w:val="Heading1"/>
      </w:pPr>
      <w:r>
        <w:t xml:space="preserve">Ownership</w:t>
      </w:r>
    </w:p>
    <w:p>
      <w:r>
        <w:t xml:space="preserve">The operations coordinator approves access and records configuration changes. The selected contractor supports the period agreed in the sample proposal.</w:t>
      </w:r>
    </w:p>
    <w:p>
      <w:pPr>
        <w:pStyle w:val="Heading1"/>
      </w:pPr>
      <w:r>
        <w:t xml:space="preserve">Acceptance evidence</w:t>
      </w:r>
    </w:p>
    <w:p>
      <w:r>
        <w:t xml:space="preserve">Record expected and observed results, reviewer role and date for each test. Sample narratives do not constitute production test evidence.</w:t>
      </w:r>
    </w:p>
    <w:sectPr>
      <w:pgSz w:w="12240" w:h="15840"/>
      <w:pgMar w:top="1080" w:right="1080" w:bottom="1080" w:left="108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Subtitle">
    <w:name w:val="Subtitle"/>
    <w:rPr>
      <w:b/>
      <w:sz w:val="26"/>
    </w:rPr>
  </w:style>
  <w:style w:type="paragraph" w:styleId="Heading1">
    <w:name w:val="Heading1"/>
    <w:rPr>
      <w:b/>
      <w:sz w:val="28"/>
    </w:rPr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/Relationships>
</file>