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STEM attendance and transport coordination</w:t>
      </w:r>
    </w:p>
    <w:p>
      <w:pPr>
        <w:pStyle w:val="Subtitle"/>
      </w:pPr>
      <w:r>
        <w:t xml:space="preserve">Implementation configuration runbook</w:t>
      </w:r>
    </w:p>
    <w:p>
      <w:r>
        <w:t xml:space="preserve">TechBridge Consulting | FICTIONAL SAMPLE ONLY</w:t>
      </w:r>
    </w:p>
    <w:p>
      <w:r>
        <w:t xml:space="preserve">Organization: Community Youth Works</w:t>
      </w:r>
    </w:p>
    <w:p>
      <w:r>
        <w:t xml:space="preserve">Project: STEM attendance and transport coordination</w:t>
      </w:r>
    </w:p>
    <w:p>
      <w:r>
        <w:t xml:space="preserve">Provider: Jordan Ellis</w:t>
      </w:r>
    </w:p>
    <w:p>
      <w:r>
        <w:t xml:space="preserve">Document status: Pilot draft</w:t>
      </w:r>
    </w:p>
    <w:p>
      <w:r>
        <w:t xml:space="preserve">Version: 1.0 | Example date: October 17, 2026</w:t>
      </w:r>
    </w:p>
    <w:p>
      <w:r>
        <w:t xml:space="preserve">No real beneficiary information, credentials or account records are included.</w:t>
      </w:r>
    </w:p>
    <w:p>
      <w:pPr>
        <w:pStyle w:val="Heading1"/>
      </w:pPr>
      <w:r>
        <w:t xml:space="preserve">Scope</w:t>
      </w:r>
    </w:p>
    <w:p>
      <w:r>
        <w:t xml:space="preserve">STEM attendance and transport coordination. Preserve existing organizational tools and use only synthetic data for this demonstration.</w:t>
      </w:r>
    </w:p>
    <w:p>
      <w:pPr>
        <w:pStyle w:val="Heading1"/>
      </w:pPr>
      <w:r>
        <w:t xml:space="preserve">Staff-only workspace</w:t>
      </w:r>
    </w:p>
    <w:p>
      <w:r>
        <w:t xml:space="preserve">Create staff-only attendance, consent-status and transport queues. Volunteers can view assigned trips; the coordinator manages access.</w:t>
      </w:r>
    </w:p>
    <w:p>
      <w:pPr>
        <w:pStyle w:val="Heading1"/>
      </w:pPr>
      <w:r>
        <w:t xml:space="preserve">Consent gate</w:t>
      </w:r>
    </w:p>
    <w:p>
      <w:r>
        <w:t xml:space="preserve">Use fictional participant codes. A pickup may enter the roster only after the coordinator verifies consent status; pending entries stay in the review queue.</w:t>
      </w:r>
    </w:p>
    <w:p>
      <w:pPr>
        <w:pStyle w:val="Heading1"/>
      </w:pPr>
      <w:r>
        <w:t xml:space="preserve">Roster export</w:t>
      </w:r>
    </w:p>
    <w:p>
      <w:r>
        <w:t xml:space="preserve">Generate a dated roster using participant codes, pickup groups and assigned staff. Do not include guardian contact details in shared exports.</w:t>
      </w:r>
    </w:p>
    <w:p>
      <w:pPr>
        <w:pStyle w:val="Heading1"/>
      </w:pPr>
      <w:r>
        <w:t xml:space="preserve">Pilot and rollback</w:t>
      </w:r>
    </w:p>
    <w:p>
      <w:r>
        <w:t xml:space="preserve">Test 35 synthetic participants, including duplicate attendance and pending consent. If exports fail, revert to the last validated synthetic roster and record the exception.</w:t>
      </w:r>
    </w:p>
    <w:p>
      <w:pPr>
        <w:pStyle w:val="Heading1"/>
      </w:pPr>
      <w:r>
        <w:t xml:space="preserve">Remaining work</w:t>
      </w:r>
    </w:p>
    <w:p>
      <w:r>
        <w:t xml:space="preserve">Coordinator approval, consent-gate testing and staff training are pending. Neither party has confirmed this sample handoff.</w:t>
      </w:r>
    </w:p>
    <w:p>
      <w:pPr>
        <w:pStyle w:val="Heading1"/>
      </w:pPr>
      <w:r>
        <w:t xml:space="preserve">Ownership</w:t>
      </w:r>
    </w:p>
    <w:p>
      <w:r>
        <w:t xml:space="preserve">The operations coordinator approves access and records configuration changes. The selected contractor supports the period agreed in the sample proposal.</w:t>
      </w:r>
    </w:p>
    <w:p>
      <w:pPr>
        <w:pStyle w:val="Heading1"/>
      </w:pPr>
      <w:r>
        <w:t xml:space="preserve">Acceptance evidence</w:t>
      </w:r>
    </w:p>
    <w:p>
      <w:r>
        <w:t xml:space="preserve">Record expected and observed results, reviewer role and date for each test. Sample narratives do not constitute production test evidence.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Subtitle">
    <w:name w:val="Subtitle"/>
    <w:rPr>
      <w:b/>
      <w:sz w:val="26"/>
    </w:rPr>
  </w:style>
  <w:style w:type="paragraph" w:styleId="Heading1">
    <w:name w:val="Heading1"/>
    <w:rPr>
      <w:b/>
      <w:sz w:val="28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