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EEC92">
      <w:pPr>
        <w:pStyle w:val="2"/>
        <w:shd w:val="clear" w:color="auto" w:fill="FFFFFF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需求背景（required）</w:t>
      </w:r>
    </w:p>
    <w:p w14:paraId="3B652307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需求来源</w:t>
      </w:r>
    </w:p>
    <w:p w14:paraId="0A16E7FD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基于昇腾 NPU 内置 TanhGrad 算子的 TBE 实现，采用 Ascend C 编程语言进行优化开发，实现功能对等、性能达标的算子，最终提交至算子开源仓。</w:t>
      </w:r>
    </w:p>
    <w:p w14:paraId="6BF98118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背景介绍</w:t>
      </w:r>
    </w:p>
    <w:p w14:paraId="107AA6C1">
      <w:pPr>
        <w:pStyle w:val="4"/>
        <w:rPr>
          <w:rFonts w:hint="eastAsia"/>
        </w:rPr>
      </w:pPr>
      <w:r>
        <w:t xml:space="preserve"> </w:t>
      </w:r>
      <w:r>
        <w:rPr>
          <w:rFonts w:hint="eastAsia"/>
          <w:lang w:val="en-US" w:eastAsia="zh-CN"/>
        </w:rPr>
        <w:t>TanhGrad 算子实现优化</w:t>
      </w:r>
    </w:p>
    <w:p w14:paraId="4267DAE4">
      <w:pPr>
        <w:pStyle w:val="7"/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基于TanhGrad 算子历史 TBE 版本，使用 Ascend C 编程语言进行重构优化，确保功能、数据类型、精度与原 TBE 版本一致，同时满足性能要求。</w:t>
      </w:r>
    </w:p>
    <w:p w14:paraId="108F1768">
      <w:pPr>
        <w:pStyle w:val="7"/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TanhGrad 算子（TBE）实现路径和相关 API 路径：</w:t>
      </w:r>
    </w:p>
    <w:p w14:paraId="75E9A373">
      <w:pPr>
        <w:pStyle w:val="7"/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TBE kernel 实现路径：/usr/local/Ascend/ascend-toolkit/latest/opp/built-in/op_impl/ai_core/tbe/impl/dynamic/</w:t>
      </w:r>
    </w:p>
    <w:p w14:paraId="543DE476">
      <w:pPr>
        <w:pStyle w:val="7"/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算子原型路径：/usr/local/Ascend/ascend-toolkit/latest/opp/built-in/op_proto/inc/</w:t>
      </w:r>
    </w:p>
    <w:p w14:paraId="458FC7FD">
      <w:pPr>
        <w:pStyle w:val="7"/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算子信息库路径：/usr/local/Ascend/ascend-toolkit/latest/opp/built-in/op_impl/ai_core/tbe/config/ascend910b</w:t>
      </w:r>
    </w:p>
    <w:p w14:paraId="1CB3DE9B">
      <w:pPr>
        <w:pStyle w:val="7"/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TBE 实现依赖 API 路径：/usr/local/Ascend/ascend-toolkit/latest/python/site-packages/tbe/dsl</w:t>
      </w:r>
    </w:p>
    <w:p w14:paraId="1825EC29">
      <w:pPr>
        <w:pStyle w:val="4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TanhGrad </w:t>
      </w:r>
      <w:r>
        <w:rPr>
          <w:rFonts w:hint="eastAsia"/>
        </w:rPr>
        <w:t>算子现状分析</w:t>
      </w:r>
    </w:p>
    <w:p w14:paraId="751A1843">
      <w:pPr>
        <w:rPr>
          <w:rFonts w:hint="eastAsia"/>
        </w:rPr>
      </w:pPr>
      <w:r>
        <w:rPr>
          <w:rFonts w:hint="eastAsia"/>
        </w:rPr>
        <w:t>通过对 TanhGrad 算子 TBE 版本的功能分析，当前支持的核心能力如下：</w:t>
      </w:r>
    </w:p>
    <w:p w14:paraId="0E78F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①输入dy、y支持 float16、float32、bfloat16 三种数据类型，输出dx与输入数据类型保持一致；不支持 int64、double 数据类型。</w:t>
      </w:r>
    </w:p>
    <w:p w14:paraId="5993C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②核心计算逻辑为逐元素运算，公式为dx = dy * (1 - y²)，其中dy为上游梯度，y为 Tanh 正向输出。</w:t>
      </w:r>
    </w:p>
    <w:p w14:paraId="7DBA2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③原 TBE 版本支持广播操作，本次 Ascend C 实现暂不支持广播，要求dy与y的 shape 完全一致。</w:t>
      </w:r>
    </w:p>
    <w:p w14:paraId="2C81D476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④</w:t>
      </w:r>
      <w:r>
        <w:rPr>
          <w:rFonts w:hint="eastAsia"/>
          <w:lang w:val="en-US" w:eastAsia="zh-CN"/>
        </w:rPr>
        <w:t>精度要求：float32 误差≤1e-4，float16/bfloat16 误差≤1e-3，整数类型（若有）无精度损失。</w:t>
      </w:r>
    </w:p>
    <w:p w14:paraId="2F4F3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TanhGrad 算子TBE版本的整体流程图如下图所示：</w:t>
      </w:r>
    </w:p>
    <w:p w14:paraId="5C425F38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napToGrid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napToGrid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37735" cy="7426325"/>
            <wp:effectExtent l="0" t="0" r="12065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742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481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vadd接口</w:t>
      </w:r>
      <w:r>
        <w:rPr>
          <w:rFonts w:hint="eastAsia"/>
          <w:lang w:val="en-US" w:eastAsia="zh-CN"/>
        </w:rPr>
        <w:t>具体</w:t>
      </w:r>
      <w:r>
        <w:rPr>
          <w:rFonts w:hint="default"/>
          <w:lang w:val="en-US" w:eastAsia="zh-CN"/>
        </w:rPr>
        <w:t>实现如下图所示：</w:t>
      </w:r>
    </w:p>
    <w:p w14:paraId="4AE4379D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20160" cy="3147695"/>
            <wp:effectExtent l="0" t="0" r="2540" b="1905"/>
            <wp:docPr id="2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3147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4D9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vmuls接口具体实现如下图所示：</w:t>
      </w:r>
    </w:p>
    <w:p w14:paraId="59751BC7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75480" cy="3250565"/>
            <wp:effectExtent l="0" t="0" r="7620" b="635"/>
            <wp:docPr id="1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325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2C70ED">
      <w:pPr>
        <w:pStyle w:val="2"/>
        <w:shd w:val="clear" w:color="auto" w:fill="FFFFFF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需求分析</w:t>
      </w:r>
    </w:p>
    <w:p w14:paraId="220EAF0F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外部组件依赖</w:t>
      </w:r>
    </w:p>
    <w:p w14:paraId="3BE5A8E7">
      <w:pPr>
        <w:pStyle w:val="7"/>
        <w:rPr>
          <w:rFonts w:hint="eastAsi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不涉及外部组件依赖。</w:t>
      </w:r>
    </w:p>
    <w:p w14:paraId="59DC39C6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内部适配模块</w:t>
      </w:r>
    </w:p>
    <w:p w14:paraId="110AAAE9">
      <w:pPr>
        <w:pStyle w:val="7"/>
        <w:rPr>
          <w:rFonts w:hint="eastAsi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适配Aclnn接口和图模式调用。</w:t>
      </w:r>
    </w:p>
    <w:p w14:paraId="4694505E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需求模块设计</w:t>
      </w:r>
    </w:p>
    <w:p w14:paraId="687D38A2">
      <w:pPr>
        <w:pStyle w:val="4"/>
        <w:rPr>
          <w:rFonts w:hint="eastAsia"/>
        </w:rPr>
      </w:pPr>
      <w:r>
        <w:rPr>
          <w:rFonts w:hint="eastAsia"/>
        </w:rPr>
        <w:t xml:space="preserve"> 算子原型</w:t>
      </w:r>
    </w:p>
    <w:p w14:paraId="56F45AC2">
      <w:pPr>
        <w:pStyle w:val="12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原型设计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241"/>
        <w:gridCol w:w="1347"/>
        <w:gridCol w:w="1293"/>
        <w:gridCol w:w="1620"/>
        <w:gridCol w:w="1497"/>
      </w:tblGrid>
      <w:tr w14:paraId="0DBA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98" w:type="dxa"/>
            <w:vAlign w:val="top"/>
          </w:tcPr>
          <w:p w14:paraId="658302F1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241" w:type="dxa"/>
            <w:vAlign w:val="top"/>
          </w:tcPr>
          <w:p w14:paraId="7DCDEEA3">
            <w:pPr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347" w:type="dxa"/>
            <w:vAlign w:val="top"/>
          </w:tcPr>
          <w:p w14:paraId="36C78473">
            <w:pPr>
              <w:rPr>
                <w:rFonts w:hint="eastAsia"/>
              </w:rPr>
            </w:pPr>
            <w:r>
              <w:rPr>
                <w:rFonts w:hint="eastAsia"/>
              </w:rPr>
              <w:t>dtype</w:t>
            </w:r>
          </w:p>
        </w:tc>
        <w:tc>
          <w:tcPr>
            <w:tcW w:w="1293" w:type="dxa"/>
            <w:vAlign w:val="top"/>
          </w:tcPr>
          <w:p w14:paraId="6C541158">
            <w:pPr>
              <w:rPr>
                <w:rFonts w:hint="eastAsia"/>
              </w:rPr>
            </w:pPr>
            <w:r>
              <w:rPr>
                <w:rFonts w:hint="eastAsia"/>
              </w:rPr>
              <w:t>format</w:t>
            </w:r>
          </w:p>
        </w:tc>
        <w:tc>
          <w:tcPr>
            <w:tcW w:w="1620" w:type="dxa"/>
            <w:vAlign w:val="top"/>
          </w:tcPr>
          <w:p w14:paraId="233E08BD">
            <w:pPr>
              <w:rPr>
                <w:rFonts w:hint="eastAsia"/>
              </w:rPr>
            </w:pPr>
            <w:r>
              <w:rPr>
                <w:rFonts w:hint="eastAsia"/>
              </w:rPr>
              <w:t>shape</w:t>
            </w:r>
          </w:p>
        </w:tc>
        <w:tc>
          <w:tcPr>
            <w:tcW w:w="1497" w:type="dxa"/>
            <w:vAlign w:val="top"/>
          </w:tcPr>
          <w:p w14:paraId="28E450EE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</w:tr>
      <w:tr w14:paraId="7738F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72BFF70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1241" w:type="dxa"/>
            <w:vAlign w:val="top"/>
          </w:tcPr>
          <w:p w14:paraId="0802C64B"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  <w:vAlign w:val="top"/>
          </w:tcPr>
          <w:p w14:paraId="009D0C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</w:t>
            </w:r>
            <w:r>
              <w:rPr>
                <w:rFonts w:hint="eastAsia"/>
                <w:lang w:val="en-US" w:eastAsia="zh-CN"/>
              </w:rPr>
              <w:t>2/bf16</w:t>
            </w:r>
          </w:p>
        </w:tc>
        <w:tc>
          <w:tcPr>
            <w:tcW w:w="1293" w:type="dxa"/>
            <w:vAlign w:val="top"/>
          </w:tcPr>
          <w:p w14:paraId="4E4F4FAF">
            <w:pPr>
              <w:rPr>
                <w:rFonts w:hint="eastAsia"/>
              </w:rPr>
            </w:pPr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  <w:vAlign w:val="top"/>
          </w:tcPr>
          <w:p w14:paraId="137235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</w:t>
            </w:r>
          </w:p>
        </w:tc>
        <w:tc>
          <w:tcPr>
            <w:tcW w:w="1497" w:type="dxa"/>
            <w:vAlign w:val="top"/>
          </w:tcPr>
          <w:p w14:paraId="454B456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输入张量</w:t>
            </w:r>
          </w:p>
        </w:tc>
      </w:tr>
      <w:tr w14:paraId="1334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7AB3AF8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dy</w:t>
            </w:r>
          </w:p>
        </w:tc>
        <w:tc>
          <w:tcPr>
            <w:tcW w:w="1241" w:type="dxa"/>
            <w:vAlign w:val="top"/>
          </w:tcPr>
          <w:p w14:paraId="46595755"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  <w:vAlign w:val="top"/>
          </w:tcPr>
          <w:p w14:paraId="02E3D1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fp32</w:t>
            </w:r>
            <w:r>
              <w:rPr>
                <w:rFonts w:hint="eastAsia"/>
                <w:lang w:val="en-US" w:eastAsia="zh-CN"/>
              </w:rPr>
              <w:t>/bf16</w:t>
            </w:r>
          </w:p>
        </w:tc>
        <w:tc>
          <w:tcPr>
            <w:tcW w:w="1293" w:type="dxa"/>
            <w:vAlign w:val="top"/>
          </w:tcPr>
          <w:p w14:paraId="300E771B">
            <w:pPr>
              <w:rPr>
                <w:rFonts w:hint="eastAsia"/>
              </w:rPr>
            </w:pPr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  <w:vAlign w:val="top"/>
          </w:tcPr>
          <w:p w14:paraId="098AC6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</w:t>
            </w:r>
          </w:p>
        </w:tc>
        <w:tc>
          <w:tcPr>
            <w:tcW w:w="1497" w:type="dxa"/>
            <w:vAlign w:val="top"/>
          </w:tcPr>
          <w:p w14:paraId="21113CB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梯度输入张量</w:t>
            </w:r>
          </w:p>
        </w:tc>
      </w:tr>
      <w:tr w14:paraId="5C16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2BE10FC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grad</w:t>
            </w:r>
          </w:p>
        </w:tc>
        <w:tc>
          <w:tcPr>
            <w:tcW w:w="1241" w:type="dxa"/>
            <w:vAlign w:val="top"/>
          </w:tcPr>
          <w:p w14:paraId="4D00C8C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</w:t>
            </w:r>
          </w:p>
        </w:tc>
        <w:tc>
          <w:tcPr>
            <w:tcW w:w="1347" w:type="dxa"/>
            <w:vAlign w:val="top"/>
          </w:tcPr>
          <w:p w14:paraId="1940EE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fp32</w:t>
            </w:r>
            <w:r>
              <w:rPr>
                <w:rFonts w:hint="eastAsia"/>
                <w:lang w:val="en-US" w:eastAsia="zh-CN"/>
              </w:rPr>
              <w:t>/bf16</w:t>
            </w:r>
          </w:p>
        </w:tc>
        <w:tc>
          <w:tcPr>
            <w:tcW w:w="1293" w:type="dxa"/>
            <w:vAlign w:val="top"/>
          </w:tcPr>
          <w:p w14:paraId="11873820">
            <w:pPr>
              <w:rPr>
                <w:rFonts w:hint="eastAsia"/>
              </w:rPr>
            </w:pPr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  <w:vAlign w:val="top"/>
          </w:tcPr>
          <w:p w14:paraId="285C4B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同输入</w:t>
            </w:r>
          </w:p>
        </w:tc>
        <w:tc>
          <w:tcPr>
            <w:tcW w:w="1497" w:type="dxa"/>
            <w:vAlign w:val="top"/>
          </w:tcPr>
          <w:p w14:paraId="4070D44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输出梯度张量</w:t>
            </w:r>
          </w:p>
        </w:tc>
      </w:tr>
    </w:tbl>
    <w:p w14:paraId="6ED7D8CC">
      <w:pPr>
        <w:pStyle w:val="12"/>
        <w:widowControl/>
        <w:numPr>
          <w:ilvl w:val="0"/>
          <w:numId w:val="2"/>
        </w:numPr>
        <w:shd w:val="clear" w:color="auto" w:fill="FFFFFF"/>
        <w:autoSpaceDE/>
        <w:autoSpaceDN/>
        <w:adjustRightInd/>
        <w:spacing w:line="240" w:lineRule="auto"/>
        <w:ind w:firstLineChars="0"/>
        <w:rPr>
          <w:rFonts w:ascii="Huawei Sans" w:hAnsi="Huawei Sans" w:eastAsia="微软雅黑"/>
          <w:color w:val="494949"/>
        </w:rPr>
      </w:pPr>
      <w:r>
        <w:rPr>
          <w:rFonts w:hint="eastAsia"/>
        </w:rPr>
        <w:t>相关约束</w:t>
      </w:r>
    </w:p>
    <w:p w14:paraId="26FA79F8">
      <w:pPr>
        <w:pStyle w:val="12"/>
        <w:rPr>
          <w:rFonts w:hint="eastAsia"/>
        </w:rPr>
      </w:pPr>
      <w:r>
        <w:rPr>
          <w:rFonts w:hint="eastAsia"/>
        </w:rPr>
        <w:t>Atlas A2 训练系列产品/Atlas 800I A2推理产品float16、float32、bfloat16</w:t>
      </w:r>
    </w:p>
    <w:p w14:paraId="5A46BBE6">
      <w:pPr>
        <w:pStyle w:val="2"/>
        <w:shd w:val="clear" w:color="auto" w:fill="FFFFFF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Cs w:val="24"/>
        </w:rPr>
        <w:t xml:space="preserve"> </w:t>
      </w:r>
      <w:r>
        <w:rPr>
          <w:rFonts w:hint="eastAsia" w:ascii="微软雅黑" w:hAnsi="微软雅黑" w:eastAsia="微软雅黑"/>
          <w:sz w:val="28"/>
          <w:szCs w:val="28"/>
        </w:rPr>
        <w:t>需求详细设计</w:t>
      </w:r>
    </w:p>
    <w:p w14:paraId="5D1A1490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使能方式</w:t>
      </w:r>
    </w:p>
    <w:tbl>
      <w:tblPr>
        <w:tblStyle w:val="8"/>
        <w:tblW w:w="8497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29"/>
        <w:gridCol w:w="2268"/>
      </w:tblGrid>
      <w:tr w14:paraId="6ADB93B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62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647EE3F6">
            <w:pPr>
              <w:spacing w:line="420" w:lineRule="atLeast"/>
              <w:jc w:val="center"/>
            </w:pPr>
            <w:r>
              <w:rPr>
                <w:rFonts w:ascii="Huawei Sans" w:hAnsi="Huawei Sans" w:eastAsia="微软雅黑"/>
                <w:b/>
                <w:bCs/>
                <w:color w:val="494949"/>
              </w:rPr>
              <w:t>上层框架</w:t>
            </w:r>
          </w:p>
        </w:tc>
        <w:tc>
          <w:tcPr>
            <w:tcW w:w="22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63605F1B">
            <w:pPr>
              <w:spacing w:line="420" w:lineRule="atLeast"/>
              <w:jc w:val="center"/>
            </w:pPr>
            <w:r>
              <w:rPr>
                <w:rFonts w:ascii="Huawei Sans" w:hAnsi="Huawei Sans" w:eastAsia="微软雅黑"/>
                <w:b/>
                <w:bCs/>
                <w:color w:val="494949"/>
              </w:rPr>
              <w:t>涉及的框架勾选</w:t>
            </w:r>
          </w:p>
        </w:tc>
      </w:tr>
      <w:tr w14:paraId="047561D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67872457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TF训练/推理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33AFB31D">
            <w:pPr>
              <w:spacing w:line="420" w:lineRule="atLeast"/>
            </w:pPr>
          </w:p>
        </w:tc>
      </w:tr>
      <w:tr w14:paraId="06719769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339F1CEF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Pytorch训练/推理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6396C2F4">
            <w:pPr>
              <w:spacing w:line="420" w:lineRule="atLeast"/>
            </w:pPr>
          </w:p>
        </w:tc>
      </w:tr>
      <w:tr w14:paraId="6988D50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09E10427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ATC推理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61FD6621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√</w:t>
            </w:r>
          </w:p>
        </w:tc>
      </w:tr>
      <w:tr w14:paraId="7E2516AC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7A0252EC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Aclnn直调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1EA88927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√</w:t>
            </w:r>
          </w:p>
        </w:tc>
      </w:tr>
      <w:tr w14:paraId="4E2B20F5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16E442EE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OPAT调优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0C782FA">
            <w:pPr>
              <w:spacing w:line="420" w:lineRule="atLeast"/>
            </w:pPr>
          </w:p>
        </w:tc>
      </w:tr>
      <w:tr w14:paraId="5BFF151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2201FFA0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SGAT子图切分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13D1033B">
            <w:pPr>
              <w:spacing w:line="420" w:lineRule="atLeast"/>
            </w:pPr>
          </w:p>
        </w:tc>
      </w:tr>
    </w:tbl>
    <w:p w14:paraId="500E29D6">
      <w:pPr>
        <w:rPr>
          <w:rFonts w:hint="eastAsia"/>
        </w:rPr>
      </w:pPr>
    </w:p>
    <w:p w14:paraId="78D6A0E7">
      <w:pPr>
        <w:pStyle w:val="3"/>
        <w:shd w:val="clear" w:color="auto" w:fill="FFFFFF"/>
        <w:rPr>
          <w:rFonts w:ascii="微软雅黑" w:hAnsi="微软雅黑" w:eastAsia="微软雅黑" w:cs="宋体"/>
        </w:rPr>
      </w:pPr>
      <w:r>
        <w:rPr>
          <w:rFonts w:hint="eastAsia" w:ascii="微软雅黑" w:hAnsi="微软雅黑" w:eastAsia="微软雅黑"/>
        </w:rPr>
        <w:t xml:space="preserve"> 需求总体设计</w:t>
      </w:r>
    </w:p>
    <w:p w14:paraId="1BFDA0E9">
      <w:pPr>
        <w:rPr>
          <w:rFonts w:hint="eastAsia"/>
          <w:b/>
          <w:bCs/>
        </w:rPr>
      </w:pPr>
      <w:r>
        <w:rPr>
          <w:rFonts w:hint="eastAsia"/>
          <w:b/>
          <w:bCs/>
        </w:rPr>
        <w:t>3.2.1  host侧设计：</w:t>
      </w:r>
    </w:p>
    <w:p w14:paraId="07EAE7F3">
      <w:pPr>
        <w:rPr>
          <w:rFonts w:hint="eastAsia"/>
          <w:lang w:val="en-US" w:eastAsia="zh-CN"/>
        </w:rPr>
      </w:pPr>
      <w:r>
        <w:rPr>
          <w:rFonts w:hint="eastAsia"/>
          <w:b/>
          <w:bCs/>
        </w:rPr>
        <w:t>tiling策略：</w:t>
      </w:r>
      <w:r>
        <w:rPr>
          <w:rFonts w:hint="eastAsia"/>
          <w:lang w:val="en-US" w:eastAsia="zh-CN"/>
        </w:rPr>
        <w:t xml:space="preserve"> </w:t>
      </w:r>
    </w:p>
    <w:p w14:paraId="019A6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当无需广播时，算子计算过程不涉及数据维度信息，故在 host 侧将数据视为一维向量，仅关注数据个数，不考虑维度信息。当存在广播时，在 host 侧获取输入的 shape 大小及维度 dim 信息，先通过函数实现输入 shape 的维度补全与统一：遍历所有输入的维度大小得到最大维度数，对维度缺失的输入在首部维度补 1 以实现维度扩充；再依据广播规则，纵向比较各输入的 shape 求得最终广播形状，根据该形状通过指定接口获取 total_length，并将输入形状、最终广播形状及 total_length 变量传递至 kernel 侧。</w:t>
      </w:r>
    </w:p>
    <w:p w14:paraId="4B8A7383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任务均分：coreNum 根据输入长度和块大小动态调整，确保每个核心处理的数据块数均匀。</w:t>
      </w:r>
    </w:p>
    <w:p w14:paraId="0DA07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textAlignment w:val="auto"/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批量搬运：通过 tileBlockNum 和 tileDataNum 计算单次搬运的数据量，借助 finalSmallTileNum 和 finalBigTileNum 确定小核、大核的搬运次数，将多次搬运合并为批量操作以减少冗余开销；同时，尾块处理逻辑确保不完整块也能被合并到计算流程中，避免数据碎片。</w:t>
      </w:r>
    </w:p>
    <w:p w14:paraId="4ED4963E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分核策略</w:t>
      </w:r>
    </w:p>
    <w:p w14:paraId="7F76D99C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优先满核使用，核间数据能均分则无大小核区分；不能均分则将余出数据块分配至前几个核。</w:t>
      </w:r>
    </w:p>
    <w:p w14:paraId="23FDA223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输入数据大小计算：通过 GetInputShape 和 GetDataTypeLength 获取总字节数。</w:t>
      </w:r>
    </w:p>
    <w:p w14:paraId="2E0FC08F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硬件信息获取：通过平台接口获取 UB 内存大小和核心数量，动态调整核心数。</w:t>
      </w:r>
    </w:p>
    <w:p w14:paraId="7BC8787B">
      <w:pPr>
        <w:pStyle w:val="12"/>
        <w:numPr>
          <w:ilvl w:val="0"/>
          <w:numId w:val="3"/>
        </w:numPr>
        <w:ind w:firstLineChars="0"/>
      </w:pPr>
      <w:r>
        <w:rPr>
          <w:rFonts w:hint="eastAsia"/>
          <w:lang w:val="en-US" w:eastAsia="zh-CN"/>
        </w:rPr>
        <w:t>数据分块和内存优化</w:t>
      </w:r>
      <w:r>
        <w:rPr>
          <w:rFonts w:hint="eastAsia"/>
        </w:rPr>
        <w:t>策略</w:t>
      </w:r>
    </w:p>
    <w:p w14:paraId="07B34E7E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充分利用 UB 空间，结合硬件 UB 大小、double buffer 启用状态、临时数据存储需求，确定单核切分大小。UB 内存大小通过 GetCoreMemSize 获取，结合 BLOCK_SIZE 和 BUFFER_NUM 计算 Tile 块数据量。按 Tile 块大小切分输入数据，计算每个 core 处理的数据块数和尾块剩余量，设置至 TanhGradTilingData 对象。</w:t>
      </w:r>
    </w:p>
    <w:p w14:paraId="282C62E8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tilingkey规划策略</w:t>
      </w:r>
    </w:p>
    <w:p w14:paraId="10EECBF5">
      <w:pPr>
        <w:pStyle w:val="1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若 dy 为单值，tilingkey 设为 0（仅对 x 执行广播）；否则 tilingkey 设为 1（x 和 dy 均执行广播）。</w:t>
      </w:r>
    </w:p>
    <w:p w14:paraId="51BBE26D">
      <w:r>
        <w:rPr>
          <w:rFonts w:hint="eastAsia"/>
          <w:b/>
          <w:bCs/>
        </w:rPr>
        <w:t>数据检测</w:t>
      </w:r>
      <w:r>
        <w:rPr>
          <w:rFonts w:hint="eastAsia"/>
        </w:rPr>
        <w:t>：</w:t>
      </w:r>
    </w:p>
    <w:p w14:paraId="30D2A22E">
      <w:pPr>
        <w:rPr>
          <w:rFonts w:hint="eastAsia"/>
        </w:rPr>
      </w:pPr>
      <w:r>
        <w:rPr>
          <w:rFonts w:hint="eastAsia"/>
        </w:rPr>
        <w:t>对不支持AscendC::Cast()bfloat16向float32转换的硬件进行直接在tiling策略时返回</w:t>
      </w:r>
      <w:r>
        <w:t>Get Operator Workspace failed. error code is 561002</w:t>
      </w:r>
      <w:r>
        <w:rPr>
          <w:rFonts w:hint="eastAsia"/>
        </w:rPr>
        <w:t xml:space="preserve">报错。 </w:t>
      </w:r>
    </w:p>
    <w:p w14:paraId="30E528D2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Host 侧 Tiling 流程图</w:t>
      </w:r>
      <w:r>
        <w:rPr>
          <w:rFonts w:hint="eastAsia"/>
          <w:b/>
          <w:bCs/>
          <w:lang w:eastAsia="zh-CN"/>
        </w:rPr>
        <w:t>：</w:t>
      </w:r>
    </w:p>
    <w:p w14:paraId="7FC080BA">
      <w:pPr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3742055" cy="8354695"/>
            <wp:effectExtent l="0" t="0" r="4445" b="1905"/>
            <wp:docPr id="15" name="图片 15" descr="hos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ost (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8748"/>
    <w:p w14:paraId="5DD152BD">
      <w:pPr>
        <w:rPr>
          <w:b/>
          <w:bCs/>
        </w:rPr>
      </w:pPr>
      <w:r>
        <w:rPr>
          <w:rFonts w:hint="eastAsia"/>
          <w:b/>
          <w:bCs/>
        </w:rPr>
        <w:t>3.2.2 kernel侧设计：</w:t>
      </w:r>
    </w:p>
    <w:p w14:paraId="182F395C">
      <w:r>
        <w:rPr>
          <w:rFonts w:hint="eastAsia"/>
        </w:rPr>
        <w:t>进行Init和</w:t>
      </w:r>
      <w:r>
        <w:t>Process</w:t>
      </w:r>
      <w:r>
        <w:rPr>
          <w:rFonts w:hint="eastAsia"/>
        </w:rPr>
        <w:t>两个阶段，其中</w:t>
      </w:r>
      <w:r>
        <w:t>Process</w:t>
      </w:r>
      <w:r>
        <w:rPr>
          <w:rFonts w:hint="eastAsia"/>
        </w:rPr>
        <w:t>包括数据搬入（CopyIn）、计算（</w:t>
      </w:r>
      <w:r>
        <w:t>Compute</w:t>
      </w:r>
      <w:r>
        <w:rPr>
          <w:rFonts w:hint="eastAsia"/>
        </w:rPr>
        <w:t>）、搬出（</w:t>
      </w:r>
      <w:r>
        <w:t>CopyOut</w:t>
      </w:r>
      <w:r>
        <w:rPr>
          <w:rFonts w:hint="eastAsia"/>
        </w:rPr>
        <w:t>）三个阶段。</w:t>
      </w:r>
    </w:p>
    <w:p w14:paraId="6F6D59B8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由于支持Ascend C开发的硬件中AscendC::</w:t>
      </w:r>
      <w:r>
        <w:rPr>
          <w:rFonts w:hint="eastAsia"/>
          <w:lang w:val="en-US" w:eastAsia="zh-CN"/>
        </w:rPr>
        <w:t>Addcdiv</w:t>
      </w:r>
      <w:r>
        <w:rPr>
          <w:rFonts w:hint="eastAsia"/>
        </w:rPr>
        <w:t>支持</w:t>
      </w:r>
      <w:r>
        <w:rPr>
          <w:rFonts w:hint="eastAsia"/>
          <w:lang w:val="en-US" w:eastAsia="zh-CN"/>
        </w:rPr>
        <w:t>float16、</w:t>
      </w:r>
      <w:r>
        <w:rPr>
          <w:rFonts w:hint="eastAsia"/>
        </w:rPr>
        <w:t>float32</w:t>
      </w:r>
      <w:r>
        <w:rPr>
          <w:rFonts w:hint="eastAsia"/>
          <w:lang w:val="en-US" w:eastAsia="zh-CN"/>
        </w:rPr>
        <w:t>和int32</w:t>
      </w:r>
      <w:r>
        <w:rPr>
          <w:rFonts w:hint="eastAsia"/>
        </w:rPr>
        <w:t>数据的输入，可以直接将bfloat16的数据都转成float32进行计算，</w:t>
      </w:r>
      <w:r>
        <w:rPr>
          <w:rFonts w:hint="eastAsia"/>
          <w:lang w:val="en-US" w:eastAsia="zh-CN"/>
        </w:rPr>
        <w:t>其余数据</w:t>
      </w:r>
      <w:r>
        <w:rPr>
          <w:rFonts w:hint="eastAsia"/>
        </w:rPr>
        <w:t>类型保持原类型计算。</w:t>
      </w:r>
    </w:p>
    <w:p w14:paraId="3316B257">
      <w:pPr>
        <w:pStyle w:val="12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广播数据填充：在 CopyIn 阶段，通过 host 侧传入的 shape 信息，调用特定函数完成地址映射与广播数据填充。</w:t>
      </w:r>
    </w:p>
    <w:p w14:paraId="1B888A1E">
      <w:pPr>
        <w:pStyle w:val="12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根据不同的tilingkey执行不同的核函数。</w:t>
      </w:r>
    </w:p>
    <w:p w14:paraId="5B6F9E2B"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 xml:space="preserve"> Kernel 侧整体流程图</w:t>
      </w:r>
      <w:r>
        <w:rPr>
          <w:rFonts w:hint="eastAsia"/>
          <w:lang w:val="en-US" w:eastAsia="zh-CN"/>
        </w:rPr>
        <w:t>如下：</w:t>
      </w:r>
    </w:p>
    <w:p w14:paraId="5F1E31A0">
      <w:pPr>
        <w:pStyle w:val="12"/>
        <w:numPr>
          <w:ilvl w:val="0"/>
          <w:numId w:val="0"/>
        </w:numPr>
        <w:ind w:left="360" w:leftChars="0"/>
        <w:jc w:val="center"/>
      </w:pPr>
    </w:p>
    <w:p w14:paraId="535C4AF3">
      <w:pPr>
        <w:keepNext w:val="0"/>
        <w:keepLines w:val="0"/>
        <w:widowControl/>
        <w:suppressLineNumbers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358390" cy="7272655"/>
            <wp:effectExtent l="0" t="0" r="3810" b="4445"/>
            <wp:docPr id="1" name="图片 1" descr="kernel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kernel (4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2734">
      <w:pPr>
        <w:pStyle w:val="7"/>
        <w:shd w:val="clear" w:color="auto" w:fill="FFFFFF"/>
        <w:spacing w:before="0" w:beforeAutospacing="0" w:after="312" w:afterAutospacing="0"/>
        <w:rPr>
          <w:rFonts w:ascii="Huawei Sans" w:hAnsi="Huawei Sans"/>
          <w:color w:val="494949"/>
        </w:rPr>
      </w:pPr>
    </w:p>
    <w:p w14:paraId="3673ED5D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支持硬件</w:t>
      </w:r>
    </w:p>
    <w:tbl>
      <w:tblPr>
        <w:tblStyle w:val="8"/>
        <w:tblW w:w="5235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27"/>
        <w:gridCol w:w="2108"/>
      </w:tblGrid>
      <w:tr w14:paraId="258CCAA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12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0AE25277">
            <w:pPr>
              <w:spacing w:line="420" w:lineRule="atLeast"/>
              <w:jc w:val="center"/>
              <w:rPr>
                <w:rStyle w:val="11"/>
                <w:rFonts w:hint="eastAsia" w:ascii="Huawei Sans" w:hAnsi="Huawei Sans" w:eastAsia="微软雅黑"/>
                <w:color w:val="494949"/>
              </w:rPr>
            </w:pPr>
            <w:r>
              <w:rPr>
                <w:rStyle w:val="11"/>
                <w:rFonts w:hint="eastAsia" w:ascii="Huawei Sans" w:hAnsi="Huawei Sans" w:eastAsia="微软雅黑"/>
                <w:color w:val="494949"/>
              </w:rPr>
              <w:t>支持的芯片版本</w:t>
            </w:r>
          </w:p>
        </w:tc>
        <w:tc>
          <w:tcPr>
            <w:tcW w:w="21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676845CC">
            <w:pPr>
              <w:spacing w:line="420" w:lineRule="atLeast"/>
              <w:jc w:val="center"/>
              <w:rPr>
                <w:rStyle w:val="11"/>
                <w:rFonts w:hint="eastAsia" w:ascii="Huawei Sans" w:hAnsi="Huawei Sans" w:eastAsia="微软雅黑"/>
                <w:color w:val="494949"/>
              </w:rPr>
            </w:pPr>
            <w:r>
              <w:rPr>
                <w:rStyle w:val="11"/>
                <w:rFonts w:hint="eastAsia" w:ascii="Huawei Sans" w:hAnsi="Huawei Sans" w:eastAsia="微软雅黑"/>
                <w:color w:val="494949"/>
              </w:rPr>
              <w:t>涉及勾选</w:t>
            </w:r>
          </w:p>
        </w:tc>
      </w:tr>
      <w:tr w14:paraId="08361B5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0010ACE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/>
                <w:color w:val="494949"/>
              </w:rPr>
              <w:t>香橙派OrangePi AIpro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73676D9">
            <w:pPr>
              <w:spacing w:line="420" w:lineRule="atLeast"/>
              <w:rPr>
                <w:rFonts w:hint="eastAsia"/>
              </w:rPr>
            </w:pPr>
          </w:p>
        </w:tc>
      </w:tr>
      <w:tr w14:paraId="142EA1E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41BC6548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 w:cs="宋体"/>
                <w:color w:val="494949"/>
              </w:rPr>
              <w:t>Atlas 200I/500 A2推理产品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08FC7BD5">
            <w:pPr>
              <w:spacing w:line="420" w:lineRule="atLeast"/>
              <w:rPr>
                <w:rFonts w:hint="eastAsia"/>
              </w:rPr>
            </w:pPr>
          </w:p>
        </w:tc>
      </w:tr>
      <w:tr w14:paraId="1CDDBD7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897629B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/>
                <w:color w:val="494949"/>
              </w:rPr>
              <w:t>Atlas</w:t>
            </w:r>
            <w:r>
              <w:rPr>
                <w:rFonts w:ascii="Huawei Sans" w:hAnsi="Huawei Sans" w:eastAsia="微软雅黑"/>
                <w:color w:val="494949"/>
              </w:rPr>
              <w:t xml:space="preserve"> 800</w:t>
            </w:r>
            <w:r>
              <w:rPr>
                <w:rFonts w:hint="eastAsia" w:ascii="Huawei Sans" w:hAnsi="Huawei Sans" w:eastAsia="微软雅黑"/>
                <w:color w:val="494949"/>
              </w:rPr>
              <w:t>I</w:t>
            </w:r>
            <w:r>
              <w:rPr>
                <w:rFonts w:ascii="Huawei Sans" w:hAnsi="Huawei Sans" w:eastAsia="微软雅黑"/>
                <w:color w:val="494949"/>
              </w:rPr>
              <w:t xml:space="preserve">/T </w:t>
            </w:r>
            <w:r>
              <w:rPr>
                <w:rFonts w:hint="eastAsia" w:ascii="Huawei Sans" w:hAnsi="Huawei Sans" w:eastAsia="微软雅黑"/>
                <w:color w:val="494949"/>
              </w:rPr>
              <w:t>A</w:t>
            </w:r>
            <w:r>
              <w:rPr>
                <w:rFonts w:ascii="Huawei Sans" w:hAnsi="Huawei Sans" w:eastAsia="微软雅黑"/>
                <w:color w:val="494949"/>
              </w:rPr>
              <w:t>2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732573A7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/>
                <w:color w:val="494949"/>
              </w:rPr>
              <w:t>√</w:t>
            </w:r>
          </w:p>
        </w:tc>
      </w:tr>
    </w:tbl>
    <w:p w14:paraId="691521E7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算子约束限制</w:t>
      </w:r>
    </w:p>
    <w:p w14:paraId="634EC7A7">
      <w:pPr>
        <w:rPr>
          <w:rFonts w:hint="default"/>
          <w:lang w:val="en-US"/>
        </w:rPr>
      </w:pPr>
      <w:r>
        <w:rPr>
          <w:rFonts w:hint="eastAsia" w:ascii="微软雅黑" w:hAnsi="微软雅黑" w:eastAsia="微软雅黑"/>
          <w:lang w:val="en-US" w:eastAsia="zh-CN"/>
        </w:rPr>
        <w:t>不支持广播。</w:t>
      </w:r>
    </w:p>
    <w:p w14:paraId="7E921887">
      <w:pPr>
        <w:pStyle w:val="2"/>
        <w:shd w:val="clear" w:color="auto" w:fill="FFFFFF"/>
        <w:rPr>
          <w:rFonts w:ascii="Huawei Sans" w:hAnsi="Huawei Sans"/>
          <w:color w:val="494949"/>
        </w:rPr>
      </w:pPr>
      <w:r>
        <w:rPr>
          <w:rFonts w:hint="eastAsia" w:ascii="微软雅黑" w:hAnsi="微软雅黑" w:eastAsia="微软雅黑"/>
          <w:sz w:val="28"/>
          <w:szCs w:val="28"/>
        </w:rPr>
        <w:t>特性交叉分析</w:t>
      </w:r>
    </w:p>
    <w:p w14:paraId="65F90DCA">
      <w:r>
        <w:rPr>
          <w:rFonts w:hint="eastAsia" w:ascii="微软雅黑" w:hAnsi="微软雅黑" w:eastAsia="微软雅黑"/>
          <w:lang w:val="en-US" w:eastAsia="zh-CN"/>
        </w:rPr>
        <w:t>与现有激活函数算子</w:t>
      </w:r>
      <w:bookmarkStart w:id="0" w:name="_GoBack"/>
      <w:bookmarkEnd w:id="0"/>
      <w:r>
        <w:rPr>
          <w:rFonts w:hint="eastAsia" w:ascii="微软雅黑" w:hAnsi="微软雅黑" w:eastAsia="微软雅黑"/>
          <w:lang w:val="en-US" w:eastAsia="zh-CN"/>
        </w:rPr>
        <w:t>保持一致的接口设计和性能特性，确保在模型中可以无缝替换。</w:t>
      </w:r>
    </w:p>
    <w:p w14:paraId="1B7ED85E">
      <w:pPr>
        <w:pStyle w:val="2"/>
        <w:shd w:val="clear" w:color="auto" w:fill="FFFFFF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可维可测分析</w:t>
      </w:r>
    </w:p>
    <w:p w14:paraId="14B80AD1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精度标准/性能标准</w:t>
      </w:r>
    </w:p>
    <w:tbl>
      <w:tblPr>
        <w:tblStyle w:val="8"/>
        <w:tblW w:w="9064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9"/>
        <w:gridCol w:w="3544"/>
        <w:gridCol w:w="2551"/>
      </w:tblGrid>
      <w:tr w14:paraId="2B187B6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96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31362AF4">
            <w:pPr>
              <w:rPr>
                <w:rStyle w:val="11"/>
                <w:rFonts w:hint="eastAsia" w:ascii="Huawei Sans" w:hAnsi="Huawei Sans" w:eastAsia="微软雅黑"/>
                <w:color w:val="494949"/>
              </w:rPr>
            </w:pPr>
            <w:r>
              <w:rPr>
                <w:rStyle w:val="11"/>
                <w:rFonts w:ascii="Huawei Sans" w:hAnsi="Huawei Sans" w:eastAsia="微软雅黑"/>
                <w:color w:val="494949"/>
              </w:rPr>
              <w:t>验收标准</w:t>
            </w:r>
          </w:p>
        </w:tc>
        <w:tc>
          <w:tcPr>
            <w:tcW w:w="354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303F60AE">
            <w:pPr>
              <w:rPr>
                <w:rStyle w:val="11"/>
                <w:rFonts w:ascii="Huawei Sans" w:hAnsi="Huawei Sans" w:eastAsia="微软雅黑"/>
                <w:color w:val="494949"/>
              </w:rPr>
            </w:pPr>
            <w:r>
              <w:rPr>
                <w:rStyle w:val="11"/>
                <w:rFonts w:ascii="Huawei Sans" w:hAnsi="Huawei Sans" w:eastAsia="微软雅黑"/>
                <w:color w:val="494949"/>
              </w:rPr>
              <w:t>描述(不涉及说明原因)</w:t>
            </w:r>
          </w:p>
        </w:tc>
        <w:tc>
          <w:tcPr>
            <w:tcW w:w="255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39C0ACA1">
            <w:pPr>
              <w:rPr>
                <w:rStyle w:val="11"/>
                <w:rFonts w:ascii="Huawei Sans" w:hAnsi="Huawei Sans" w:eastAsia="微软雅黑"/>
                <w:color w:val="494949"/>
              </w:rPr>
            </w:pPr>
            <w:r>
              <w:rPr>
                <w:rStyle w:val="11"/>
                <w:rFonts w:ascii="Huawei Sans" w:hAnsi="Huawei Sans" w:eastAsia="微软雅黑"/>
                <w:color w:val="494949"/>
              </w:rPr>
              <w:t>标准来源</w:t>
            </w:r>
          </w:p>
        </w:tc>
      </w:tr>
      <w:tr w14:paraId="73D1B7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EB69D05">
            <w:r>
              <w:t>精度标准</w:t>
            </w:r>
          </w:p>
        </w:tc>
        <w:tc>
          <w:tcPr>
            <w:tcW w:w="3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5B1FAFAF">
            <w:pPr>
              <w:rPr>
                <w:rFonts w:hint="eastAsia"/>
              </w:rPr>
            </w:pPr>
            <w:r>
              <w:rPr>
                <w:rFonts w:hint="eastAsia"/>
              </w:rPr>
              <w:t>不低于TBE版本</w:t>
            </w:r>
          </w:p>
        </w:tc>
        <w:tc>
          <w:tcPr>
            <w:tcW w:w="2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0C50D8B6"/>
        </w:tc>
      </w:tr>
      <w:tr w14:paraId="2511A12F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6DD9A047">
            <w:r>
              <w:t>性能标准</w:t>
            </w:r>
          </w:p>
        </w:tc>
        <w:tc>
          <w:tcPr>
            <w:tcW w:w="3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7FD1E472">
            <w:pPr>
              <w:rPr>
                <w:rFonts w:hint="eastAsia"/>
              </w:rPr>
            </w:pPr>
            <w:r>
              <w:rPr>
                <w:rFonts w:hint="eastAsia"/>
              </w:rPr>
              <w:t>不低于TBE版本</w:t>
            </w:r>
          </w:p>
        </w:tc>
        <w:tc>
          <w:tcPr>
            <w:tcW w:w="2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4F258B37"/>
        </w:tc>
      </w:tr>
    </w:tbl>
    <w:p w14:paraId="721257DE">
      <w:pPr>
        <w:pStyle w:val="3"/>
        <w:shd w:val="clear" w:color="auto" w:fill="FFFFFF"/>
        <w:rPr>
          <w:rFonts w:ascii="微软雅黑" w:hAnsi="微软雅黑" w:eastAsia="微软雅黑" w:cs="宋体"/>
        </w:rPr>
      </w:pPr>
      <w:r>
        <w:rPr>
          <w:rFonts w:hint="eastAsia" w:ascii="微软雅黑" w:hAnsi="微软雅黑" w:eastAsia="微软雅黑"/>
        </w:rPr>
        <w:t>兼容性分析</w:t>
      </w:r>
    </w:p>
    <w:p w14:paraId="535A544D">
      <w:pPr>
        <w:pStyle w:val="7"/>
      </w:pPr>
      <w:r>
        <w:t>新算子，不涉及兼容性分析</w:t>
      </w:r>
    </w:p>
    <w:p w14:paraId="118CFCE2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5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3"/>
      <w:gridCol w:w="2924"/>
      <w:gridCol w:w="2604"/>
    </w:tblGrid>
    <w:tr w14:paraId="44A62957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57" w:hRule="atLeast"/>
      </w:trPr>
      <w:tc>
        <w:tcPr>
          <w:tcW w:w="1760" w:type="pct"/>
        </w:tcPr>
        <w:p w14:paraId="6CA27ECA">
          <w:pPr>
            <w:pStyle w:val="5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2025-11-8</w:t>
          </w:r>
          <w:r>
            <w:fldChar w:fldCharType="end"/>
          </w:r>
        </w:p>
      </w:tc>
      <w:tc>
        <w:tcPr>
          <w:tcW w:w="1714" w:type="pct"/>
        </w:tcPr>
        <w:p w14:paraId="733E8604">
          <w:pPr>
            <w:pStyle w:val="5"/>
          </w:pPr>
          <w:r>
            <w:rPr>
              <w:rFonts w:hint="eastAsia"/>
            </w:rPr>
            <w:t>华为保密信息,未经授权禁止扩散</w:t>
          </w:r>
        </w:p>
      </w:tc>
      <w:tc>
        <w:tcPr>
          <w:tcW w:w="1526" w:type="pct"/>
        </w:tcPr>
        <w:p w14:paraId="40484DE5">
          <w:pPr>
            <w:pStyle w:val="5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587320E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3CDBE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8DD84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42"/>
      <w:gridCol w:w="5894"/>
      <w:gridCol w:w="1684"/>
    </w:tblGrid>
    <w:tr w14:paraId="516236F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500" w:type="pct"/>
        </w:tcPr>
        <w:p w14:paraId="530CD6AA">
          <w:pPr>
            <w:rPr>
              <w:rFonts w:ascii="Dotum" w:hAnsi="Dotum" w:eastAsia="Dotum"/>
            </w:rPr>
          </w:pPr>
          <w:r>
            <w:rPr>
              <w:rFonts w:hint="eastAsia" w:ascii="宋体" w:hAnsi="宋体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7620" b="10795"/>
                <wp:wrapThrough wrapText="bothSides">
                  <wp:wrapPolygon>
                    <wp:start x="0" y="0"/>
                    <wp:lineTo x="0" y="20893"/>
                    <wp:lineTo x="20721" y="20893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14:paraId="79633101">
          <w:pPr>
            <w:pStyle w:val="6"/>
            <w:ind w:firstLine="540" w:firstLineChars="300"/>
            <w:rPr>
              <w:rFonts w:ascii="宋体" w:hAnsi="宋体"/>
            </w:rPr>
          </w:pPr>
          <w:r>
            <w:rPr>
              <w:rFonts w:hint="eastAsia" w:ascii="宋体" w:hAnsi="宋体"/>
            </w:rPr>
            <w:t>文档名称</w:t>
          </w:r>
        </w:p>
      </w:tc>
      <w:tc>
        <w:tcPr>
          <w:tcW w:w="1000" w:type="pct"/>
          <w:vAlign w:val="bottom"/>
        </w:tcPr>
        <w:p w14:paraId="51B3A364">
          <w:pPr>
            <w:pStyle w:val="6"/>
            <w:ind w:firstLine="630" w:firstLineChars="350"/>
            <w:rPr>
              <w:rFonts w:ascii="宋体" w:hAnsi="宋体"/>
            </w:rPr>
          </w:pPr>
          <w:r>
            <w:rPr>
              <w:rFonts w:hint="eastAsia" w:ascii="宋体" w:hAnsi="宋体"/>
            </w:rPr>
            <w:t>文档密级</w:t>
          </w:r>
        </w:p>
      </w:tc>
    </w:tr>
  </w:tbl>
  <w:p w14:paraId="60D896A6">
    <w:pPr>
      <w:pStyle w:val="6"/>
      <w:rPr>
        <w:rFonts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544AF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34029"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D41A9"/>
    <w:multiLevelType w:val="multilevel"/>
    <w:tmpl w:val="0E0D41A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41F34BCB"/>
    <w:multiLevelType w:val="multilevel"/>
    <w:tmpl w:val="41F34BC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674A4A00"/>
    <w:multiLevelType w:val="multilevel"/>
    <w:tmpl w:val="674A4A0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50F00"/>
    <w:rsid w:val="0C6269AF"/>
    <w:rsid w:val="6E85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outlineLvl w:val="1"/>
    </w:pPr>
    <w:rPr>
      <w:rFonts w:ascii="Times New Roman" w:hAnsi="Times New Roman" w:eastAsia="黑体" w:cs="Times New Roman"/>
      <w:b/>
      <w:bCs/>
      <w:sz w:val="30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6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7">
    <w:name w:val="Normal (Web)"/>
    <w:basedOn w:val="1"/>
    <w:semiHidden/>
    <w:unhideWhenUsed/>
    <w:qFormat/>
    <w:uiPriority w:val="99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2025-11-08T07:51:00Z</dcterms:created>
  <dc:creator>陈阳</dc:creator>
  <cp:lastModifiedBy>陈阳</cp:lastModifiedBy>
  <dcterms:modified xsi:type="dcterms:W3CDTF">2025-11-08T08:07:01Z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78A51ED49CAF47A0B7A40F596F58CC13_11</vt:lpwstr>
  </property>
  <property fmtid="{D5CDD505-2E9C-101B-9397-08002B2CF9AE}" pid="4" name="KSOTemplateDocerSaveRecord">
    <vt:lpwstr>eyJoZGlkIjoiOTg4MGFjNGFjOWI0NGU4ZDFmM2Y2ODIzNmFmMzg2NDciLCJ1c2VySWQiOiI1MzYwOTIzODgifQ==</vt:lpwstr>
  </property>
</Properties>
</file>