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2026-07-28T02:06:43Z]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(GEOPOLITICAL RESONANCE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next sequential item in Phase 2 of the batch processing directive, continuing into Pillar II. It routes the </w:t>
      </w:r>
      <w:r w:rsidDel="00000000" w:rsidR="00000000" w:rsidRPr="00000000">
        <w:rPr>
          <w:b w:val="1"/>
          <w:bCs w:val="1"/>
          <w:rtl w:val="0"/>
        </w:rPr>
        <w:t xml:space="preserve">Geopolitical Resonance System</w:t>
      </w:r>
      <w:r w:rsidDel="00000000" w:rsidR="00000000" w:rsidRPr="00000000">
        <w:rPr>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Geopolitical Resonance 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System Module / Faction Dynamics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 macro-level faction standing metric tracking Kaelen's alignment with major geopolitical entities (e.g., The Order of the White Flame, Valerius's Purists, The Enclaves) on a scale from Hated to Revered. It is dynamically modulated by Kaelen's public Resonance-aligned actions, his visible Taint level, and the strategic deployment of "Solidified Memories" as diplomatic currency. This standing dictates the player's access to unique quests, vendors, safe havens, and triggers dynamic world events such as faction-led ambushes or allied support.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Global Event Bus / Pub-Sub (Publish-Subscribe) Model (A messaging pattern where Kaelen's actions 'publish' events to a global bus, and independent faction objects 'subscribe' to these events, updating their internal state and hostility logic independently based on their unique filtering parameters).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Exoteric Doctrine (The outward-facing, public interpretation of a belief system, dictating how external institutions, zealots, and the uninitiated interact with the practitioner based on observable dogma).</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Social Exchange Theory (A sociological model where social behavior and alliance formation are the result of an exchange process; factions constantly evaluate Kaelen based on perceived utility, threat level, and ideological alignment).</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Role-Based Access Control (RBAC) Matrix (A security paradigm where access to system resources—quests, vendors, physical areas—is strictly regulated by the roles or standing assigned to the user entity, dynamically updated by their behavioral ledger).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dictates how an isolated entity's internal state governs its access to external network resources. Geopolitical Resonance is explicitly not a simple, universal "hero/villain" reputation bar. It is a Role-Based Access Control Matrix where different actions publish different payloads to the Global Event Bus. Because factions like The Order and The Enclaves have diametrically opposed subscription filters, a single action (e.g., a terrifying Shadow display) will automatically upgrade access privileges with one group while simultaneously revoking them from the other.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DYNAMIC ACCESS CONTROL &amp; MACRO-SYSTEMIC CONSEQUENCE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the Geopolitical Resonance System strictly as an RBAC Matrix and a Pub-Sub Model, we structurally forbid the common RPG design flaw where a player can eventually become the revered leader of every opposing faction simultaneously. The architecture mandates zero-sum political interactions. It ensures that Kaelen's internal psychological state (Resonance and Taint) is mathematically tethered to his external political reality, forcing the player to accept that appeasing one ideology guarantees hostility from another.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reputation systems often feel disconnected from the core gameplay loop. By integrating "Solidified Memories" as the ultimate diplomatic currency in this system, you brilliantly bridge the narrative and political layers. Instead of just grinding fetch quests for standing, the player literally weaponizes their own past to manipulate political leaders. Mapping this to a Pub-Sub Model perfectly captures the dynamic reality of your world: Kaelen acts, and the factions passively listen and react according to their own rigid biases. I have applied the Rule 1 strict completion protocol, providing the artifact exactly as required without appending conversational menus or prompts.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