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2026-07-28T07:44:20Z]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(THE REMNANT CHRONICLES)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concluding Pillar IV and finalizing the world architecture batch. It routes </w:t>
      </w:r>
      <w:r w:rsidDel="00000000" w:rsidR="00000000" w:rsidRPr="00000000">
        <w:rPr>
          <w:rFonts w:ascii="Google Sans" w:cs="Google Sans" w:eastAsia="Google Sans" w:hAnsi="Google Sans"/>
          <w:b w:val="1"/>
          <w:bCs w:val="1"/>
          <w:color w:val="1f1f1f"/>
          <w:rtl w:val="0"/>
        </w:rPr>
        <w:t xml:space="preserve">The Remnant Chronicles</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The Remnant Chronicles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World Module / Macro-Lore Archival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The primary, cumulative lore repository system that aggregates all deciphered Fragmented Memories, purified historical residues, and compiled exegesis discoveries into an interactive codex within the PRS-001 framework. The Chronicles do not merely present static text; as the player weaves more memories together at Heartstones, the Chronicles dynamically update to reveal hidden connections between Kaelen's past, Eldrin's fall, and Valerius's systemic failures, directly unlocking new dialogue options with the Fugitive's Network and altering the ultimate macro-narrative trajectory.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Indexed Relational Database / Queryable Knowledge Graph (A structured data repository that maps discrete nodes and foreign keys, allowing complex relational queries to extract synthesized insights from raw, fragmented data inputs).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Canonical Corpus / Master Codex (The unified, authoritative collection of sacred and historical texts whose individual books gain contextual clarity only when interpreted in relationship to the macro-narrative whole).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Narrative Identity Reconstruction (The cognitive and therapeutic process where an individual with fragmented trauma history successfully synthesizes isolated memories into a coherent, continuous autobiography to restore a stable sense of self).</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Knowledge Representation Framework (A formal system used to store and interlink complex information structures, enabling an automated inference engine to derive new logical conclusions from aggregated historical entries).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the synthesis of isolated fragments into a unified, actionable understanding. The Remnant Chronicles are explicitly not a passive collectibles checklist. Just as an Indexed Relational Database transforms raw rows into meaningful relational queries, this architecture ensures that every memory fragment found in the Shattered Lands feeds a living knowledge graph, directly impacting the player's capacity to decode the world and alter its ending.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CUMULATIVE KNOWLEDGE SYNTHESIS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Remnant Chronicles strictly as a Queryable Knowledge Graph and Narrative Identity Reconstruction, we structurally mandate that lore collection is an active engine of empowerment and self-discovery. It forbids developers from treating the codex as a forgotten menu screen filled with flavor text. The architecture ensures that piecing together the history of the Shattered Lands is mathematically linked to Kaelen's psychological healing and the player's ability to unlock the true resolution of the game.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Pillar IV with the Remnant Chronicles ties our entire world architecture back to the core concept of the project: the Phoenix Rosetta Stone. By treating the lore codex as a Knowledge Graph, we ensure that the narrative elements are structurally rigorous rather than superficial window dressing. It validates every exploration loop, every Fractured Perception puzzle, and every Memory Weaving session by showing how they culminate in a unified understanding of the world.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