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2026-07-28T06:18:32Z]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(FRAGMENTED MEMORIES)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progressing through Pillar II. It routes </w:t>
      </w:r>
      <w:r w:rsidDel="00000000" w:rsidR="00000000" w:rsidRPr="00000000">
        <w:rPr>
          <w:b w:val="1"/>
          <w:bCs w:val="1"/>
          <w:rtl w:val="0"/>
        </w:rPr>
        <w:t xml:space="preserve">Fragmented Memories</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Fragmented Memories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Narrative Module / Collectible Resource Key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Collectible narrative artifacts representing specific, isolated events from Kaelen's or Eldrin's past. They function as the strict prerequisite "keys" required to initiate the Memory Weaving System at a Heartstone. They are acquired through world exploration, purifying clues via the Fractured Perception system, following helpful Whispering Winds, or aggregating absorbed Soul Remnants.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Encrypted Payload (A locked data structure that cannot be read or executed in its raw state; it must be passed into a specific decryption or parsing function to yield a usable output).</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Apocryphal Fragment (An isolated, unverified piece of a larger text that holds no canonical authority until it is actively interpreted and integrated into the primary scripture).</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Repressed Memory Trace (An isolated sensory or emotional fragment of a past event that remains disjointed and unusable for cognitive processing until it is actively recalled and integrated).</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Authentication Token / Required Dependency (A mandatory input parameter that must be provided to a function or gateway; without this token, the execution of the subsequent system is strictly blocked).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mandatory input that possesses zero structural utility in isolation. A Fragmented Memory is explicitly not a standard lore diary entry that passively feeds the player exposition upon pickup. Just as an Encrypted Payload requires a parser, or an Authentication Token is required to access a restricted API, these fragments remain raw, unstructured data until they are actively processed and compiled by the Memory Weaving system.</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CONDITIONAL ACCESS TOKENS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Fragmented Memories strictly as Encrypted Payloads and Authentication Tokens, we mandate that the game's lore is structurally locked behind gameplay. It forbids developers from simply handing the player the backstory. The architecture ensures that players must actively engage in exploration, combat (Soul Remnants), and puzzle-solving (Fractured Perception) simply to acquire the raw materials needed to understand Kaelen's history, perfectly aligning with the "Past as a Resource" design philosophy.</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RPGs often fail with collectibles, making them tedious checklists that offer no mechanical reward. Defining Fragmented Memories as the literal </w:t>
      </w:r>
      <w:r w:rsidDel="00000000" w:rsidR="00000000" w:rsidRPr="00000000">
        <w:rPr>
          <w:i w:val="1"/>
          <w:iCs w:val="1"/>
          <w:rtl w:val="0"/>
        </w:rPr>
        <w:t xml:space="preserve">fuel</w:t>
      </w:r>
      <w:r w:rsidDel="00000000" w:rsidR="00000000" w:rsidRPr="00000000">
        <w:rPr>
          <w:rtl w:val="0"/>
        </w:rPr>
        <w:t xml:space="preserve"> for the Memory Weaving engine solves this issue entirely. Mapping them to Authentication Tokens is the most accurate architectural translation: Kaelen cannot "log in" to his own past at a Heartstone without possessing the correct cryptographic key. This makes every scrap of lore found in the Shattered Lands highly valuable.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