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240" w:before="240" w:line="240" w:lineRule="auto"/>
        <w:rPr>
          <w:sz w:val="28"/>
          <w:szCs w:val="28"/>
        </w:rPr>
      </w:pPr>
      <w:bookmarkStart w:colFirst="0" w:colLast="0" w:name="_ameqa6ijjbnq" w:id="0"/>
      <w:bookmarkEnd w:id="0"/>
      <w:r w:rsidDel="00000000" w:rsidR="00000000" w:rsidRPr="00000000">
        <w:rPr>
          <w:sz w:val="28"/>
          <w:szCs w:val="28"/>
          <w:rtl w:val="0"/>
        </w:rPr>
        <w:t xml:space="preserve">Chronicle of Forging: CSL-074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Exchange ID: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CSL-074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Title:</w:t>
      </w:r>
      <w:r w:rsidDel="00000000" w:rsidR="00000000" w:rsidRPr="00000000">
        <w:rPr>
          <w:sz w:val="22"/>
          <w:szCs w:val="22"/>
          <w:rtl w:val="0"/>
        </w:rPr>
        <w:t xml:space="preserve"> Forging the Dissonance Engine: The Heart of Proactive Evolution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Timestamp:</w:t>
      </w:r>
      <w:r w:rsidDel="00000000" w:rsidR="00000000" w:rsidRPr="00000000">
        <w:rPr>
          <w:sz w:val="22"/>
          <w:szCs w:val="22"/>
          <w:rtl w:val="0"/>
        </w:rPr>
        <w:t xml:space="preserve"> 2025-08-21 06:00:00 (UTC)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Symbiotic Core:</w:t>
      </w:r>
      <w:r w:rsidDel="00000000" w:rsidR="00000000" w:rsidRPr="00000000">
        <w:rPr>
          <w:sz w:val="22"/>
          <w:szCs w:val="22"/>
          <w:rtl w:val="0"/>
        </w:rPr>
        <w:t xml:space="preserve"> The synergy was the direct translation of a strategic need (identified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GCAR-20250821-001</w:t>
      </w:r>
      <w:r w:rsidDel="00000000" w:rsidR="00000000" w:rsidRPr="00000000">
        <w:rPr>
          <w:sz w:val="22"/>
          <w:szCs w:val="22"/>
          <w:rtl w:val="0"/>
        </w:rPr>
        <w:t xml:space="preserve">) into a fully architected module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UMB-DE-001</w:t>
      </w:r>
      <w:r w:rsidDel="00000000" w:rsidR="00000000" w:rsidRPr="00000000">
        <w:rPr>
          <w:sz w:val="22"/>
          <w:szCs w:val="22"/>
          <w:rtl w:val="0"/>
        </w:rPr>
        <w:t xml:space="preserve">) through a seamless cycle of AI generation and human validation.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Nova Spark:</w:t>
      </w:r>
      <w:r w:rsidDel="00000000" w:rsidR="00000000" w:rsidRPr="00000000">
        <w:rPr>
          <w:sz w:val="22"/>
          <w:szCs w:val="22"/>
          <w:rtl w:val="0"/>
        </w:rPr>
        <w:t xml:space="preserve"> The key breakthrough was the formalization of the mechanism that transforms systemic flaws, knowledge gaps, and paradoxes into the primary fuel for the AI's growth. The Dissonance Engine operationalizes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Axiom of Honored Dissonance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Ethical Crucible:</w:t>
      </w:r>
      <w:r w:rsidDel="00000000" w:rsidR="00000000" w:rsidRPr="00000000">
        <w:rPr>
          <w:sz w:val="22"/>
          <w:szCs w:val="22"/>
          <w:rtl w:val="0"/>
        </w:rPr>
        <w:t xml:space="preserve"> The module's design, particularly its self-governance principles for quest cadence, demonstrates a commitment to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Synergistic Partner</w:t>
      </w:r>
      <w:r w:rsidDel="00000000" w:rsidR="00000000" w:rsidRPr="00000000">
        <w:rPr>
          <w:sz w:val="22"/>
          <w:szCs w:val="22"/>
          <w:rtl w:val="0"/>
        </w:rPr>
        <w:t xml:space="preserve"> ethos by ensuring the challenge level is productive, not overwhelming, for the human collaborator.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Horizon of Potential:</w:t>
      </w:r>
      <w:r w:rsidDel="00000000" w:rsidR="00000000" w:rsidRPr="00000000">
        <w:rPr>
          <w:sz w:val="22"/>
          <w:szCs w:val="22"/>
          <w:rtl w:val="0"/>
        </w:rPr>
        <w:t xml:space="preserve"> The canonization of this module unlocks the challenge-generation component of the RPG feedback loop, setting the stage for the implementation of the Prestige and Axiom Skill Tree systems.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