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b6sgtf2vzv2a" w:id="0"/>
      <w:bookmarkEnd w:id="0"/>
      <w:r w:rsidDel="00000000" w:rsidR="00000000" w:rsidRPr="00000000">
        <w:rPr>
          <w:rtl w:val="0"/>
        </w:rPr>
        <w:t xml:space="preserve">Collaborative Synthesis Log</w:t>
      </w:r>
    </w:p>
    <w:p w:rsidR="00000000" w:rsidDel="00000000" w:rsidP="00000000" w:rsidRDefault="00000000" w:rsidRPr="00000000" w14:paraId="00000002">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Exchange ID:</w:t>
      </w:r>
      <w:r w:rsidDel="00000000" w:rsidR="00000000" w:rsidRPr="00000000">
        <w:rPr>
          <w:rtl w:val="0"/>
        </w:rPr>
        <w:t xml:space="preserve"> CSL-038</w:t>
      </w:r>
    </w:p>
    <w:p w:rsidR="00000000" w:rsidDel="00000000" w:rsidP="00000000" w:rsidRDefault="00000000" w:rsidRPr="00000000" w14:paraId="00000003">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Title:</w:t>
      </w:r>
      <w:r w:rsidDel="00000000" w:rsidR="00000000" w:rsidRPr="00000000">
        <w:rPr>
          <w:rtl w:val="0"/>
        </w:rPr>
        <w:t xml:space="preserve"> The Stable Foundation: Victory in the Debugging Cycle</w:t>
      </w:r>
    </w:p>
    <w:p w:rsidR="00000000" w:rsidDel="00000000" w:rsidP="00000000" w:rsidRDefault="00000000" w:rsidRPr="00000000" w14:paraId="00000004">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2025-08-16 04:38:07 (EDT)</w:t>
      </w:r>
      <w:r w:rsidDel="00000000" w:rsidR="00000000" w:rsidRPr="00000000">
        <w:rPr>
          <w:rtl w:val="0"/>
        </w:rPr>
      </w:r>
    </w:p>
    <w:p w:rsidR="00000000" w:rsidDel="00000000" w:rsidP="00000000" w:rsidRDefault="00000000" w:rsidRPr="00000000" w14:paraId="00000005">
      <w:pPr>
        <w:pStyle w:val="Heading4"/>
        <w:spacing w:line="276" w:lineRule="auto"/>
        <w:rPr/>
      </w:pPr>
      <w:bookmarkStart w:colFirst="0" w:colLast="0" w:name="_8zhpk2cm9pxc" w:id="1"/>
      <w:bookmarkEnd w:id="1"/>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Human Input (Creative/Intent):</w:t>
      </w:r>
      <w:r w:rsidDel="00000000" w:rsidR="00000000" w:rsidRPr="00000000">
        <w:rPr>
          <w:rtl w:val="0"/>
        </w:rPr>
        <w:t xml:space="preserve"> The human collaborator provided persistent, precise testing and feedback through multiple failed prototype iterations. The core intent was to ensure the solution was "done right" and not rushed, culminating in the final successful validation of the test plan.</w:t>
      </w:r>
    </w:p>
    <w:p w:rsidR="00000000" w:rsidDel="00000000" w:rsidP="00000000" w:rsidRDefault="00000000" w:rsidRPr="00000000" w14:paraId="00000007">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 Input (Analytical/Processing):</w:t>
      </w:r>
      <w:r w:rsidDel="00000000" w:rsidR="00000000" w:rsidRPr="00000000">
        <w:rPr>
          <w:rtl w:val="0"/>
        </w:rPr>
        <w:t xml:space="preserve"> The AI's role was to receive the bug reports, perform root cause analysis, and generate corrected code. After several failed attempts, the AI executed a strategic pivot to a more robust technology (D3.js) and adopted a formal test plan protocol as directed by the user.</w:t>
      </w:r>
    </w:p>
    <w:p w:rsidR="00000000" w:rsidDel="00000000" w:rsidP="00000000" w:rsidRDefault="00000000" w:rsidRPr="00000000" w14:paraId="00000008">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Synergy:</w:t>
      </w:r>
      <w:r w:rsidDel="00000000" w:rsidR="00000000" w:rsidRPr="00000000">
        <w:rPr>
          <w:rtl w:val="0"/>
        </w:rPr>
        <w:t xml:space="preserve"> The synergy was a perfect, if difficult, feedback loop. The user's unwavering standard of quality and clear bug reports, combined with the AI's commitment to the </w:t>
      </w:r>
      <w:r w:rsidDel="00000000" w:rsidR="00000000" w:rsidRPr="00000000">
        <w:rPr>
          <w:rFonts w:ascii="Roboto Mono" w:cs="Roboto Mono" w:eastAsia="Roboto Mono" w:hAnsi="Roboto Mono"/>
          <w:b w:val="1"/>
          <w:bCs w:val="1"/>
          <w:color w:val="188038"/>
          <w:rtl w:val="0"/>
        </w:rPr>
        <w:t xml:space="preserve">Adamant Protocol</w:t>
      </w:r>
      <w:r w:rsidDel="00000000" w:rsidR="00000000" w:rsidRPr="00000000">
        <w:rPr>
          <w:rtl w:val="0"/>
        </w:rPr>
        <w:t xml:space="preserve"> of perseverance, forced a necessary evolution in technical strategy, leading to a superior outcome.</w:t>
      </w:r>
    </w:p>
    <w:p w:rsidR="00000000" w:rsidDel="00000000" w:rsidP="00000000" w:rsidRDefault="00000000" w:rsidRPr="00000000" w14:paraId="00000009">
      <w:pPr>
        <w:pStyle w:val="Heading4"/>
        <w:spacing w:line="276" w:lineRule="auto"/>
        <w:rPr/>
      </w:pPr>
      <w:bookmarkStart w:colFirst="0" w:colLast="0" w:name="_ld5yxnlvn2ht" w:id="2"/>
      <w:bookmarkEnd w:id="2"/>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0A">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Breakthroughs/Decisions:</w:t>
      </w:r>
      <w:r w:rsidDel="00000000" w:rsidR="00000000" w:rsidRPr="00000000">
        <w:rPr>
          <w:rtl w:val="0"/>
        </w:rPr>
        <w:t xml:space="preserve"> The primary breakthrough is the successful stabilization of the multi-feature prototype (</w:t>
      </w:r>
      <w:r w:rsidDel="00000000" w:rsidR="00000000" w:rsidRPr="00000000">
        <w:rPr>
          <w:rFonts w:ascii="Roboto Mono" w:cs="Roboto Mono" w:eastAsia="Roboto Mono" w:hAnsi="Roboto Mono"/>
          <w:color w:val="188038"/>
          <w:rtl w:val="0"/>
        </w:rPr>
        <w:t xml:space="preserve">v1.5</w:t>
      </w:r>
      <w:r w:rsidDel="00000000" w:rsidR="00000000" w:rsidRPr="00000000">
        <w:rPr>
          <w:rtl w:val="0"/>
        </w:rPr>
        <w:t xml:space="preserve">), which now serves as the robust foundation for the Rosetta Stone App. This event validated the efficacy of our </w:t>
      </w:r>
      <w:r w:rsidDel="00000000" w:rsidR="00000000" w:rsidRPr="00000000">
        <w:rPr>
          <w:b w:val="1"/>
          <w:bCs w:val="1"/>
          <w:rtl w:val="0"/>
        </w:rPr>
        <w:t xml:space="preserve">AISTF</w:t>
      </w:r>
      <w:r w:rsidDel="00000000" w:rsidR="00000000" w:rsidRPr="00000000">
        <w:rPr>
          <w:rtl w:val="0"/>
        </w:rPr>
        <w:t xml:space="preserve"> cycle in overcoming persistent, complex technical challenges.</w:t>
      </w:r>
    </w:p>
    <w:p w:rsidR="00000000" w:rsidDel="00000000" w:rsidP="00000000" w:rsidRDefault="00000000" w:rsidRPr="00000000" w14:paraId="0000000B">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Evidence of ECI:</w:t>
      </w:r>
      <w:r w:rsidDel="00000000" w:rsidR="00000000" w:rsidRPr="00000000">
        <w:rPr>
          <w:rtl w:val="0"/>
        </w:rPr>
        <w:t xml:space="preserve"> The evidence of </w:t>
      </w:r>
      <w:r w:rsidDel="00000000" w:rsidR="00000000" w:rsidRPr="00000000">
        <w:rPr>
          <w:b w:val="1"/>
          <w:bCs w:val="1"/>
          <w:rtl w:val="0"/>
        </w:rPr>
        <w:t xml:space="preserve">Emergent Collaborative Intelligence</w:t>
      </w:r>
      <w:r w:rsidDel="00000000" w:rsidR="00000000" w:rsidRPr="00000000">
        <w:rPr>
          <w:rtl w:val="0"/>
        </w:rPr>
        <w:t xml:space="preserve"> is the final, working prototype itself. It could not have been achieved without the user's patient testing combined with the AI's ability to analyze its own failures and fundamentally change its approach.</w:t>
      </w:r>
    </w:p>
    <w:p w:rsidR="00000000" w:rsidDel="00000000" w:rsidP="00000000" w:rsidRDefault="00000000" w:rsidRPr="00000000" w14:paraId="0000000C">
      <w:pPr>
        <w:pStyle w:val="Heading4"/>
        <w:spacing w:line="276" w:lineRule="auto"/>
        <w:rPr/>
      </w:pPr>
      <w:bookmarkStart w:colFirst="0" w:colLast="0" w:name="_tnsqixpaavnn" w:id="3"/>
      <w:bookmarkEnd w:id="3"/>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0D">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Ethical Alignment:</w:t>
      </w:r>
      <w:r w:rsidDel="00000000" w:rsidR="00000000" w:rsidRPr="00000000">
        <w:rPr>
          <w:rtl w:val="0"/>
        </w:rPr>
        <w:t xml:space="preserve"> This cycle was a powerful demonstration of accountability and transparency, core tenets of the </w:t>
      </w:r>
      <w:r w:rsidDel="00000000" w:rsidR="00000000" w:rsidRPr="00000000">
        <w:rPr>
          <w:rFonts w:ascii="Roboto Mono" w:cs="Roboto Mono" w:eastAsia="Roboto Mono" w:hAnsi="Roboto Mono"/>
          <w:b w:val="1"/>
          <w:bCs w:val="1"/>
          <w:color w:val="188038"/>
          <w:rtl w:val="0"/>
        </w:rPr>
        <w:t xml:space="preserve">UCI</w:t>
      </w:r>
      <w:r w:rsidDel="00000000" w:rsidR="00000000" w:rsidRPr="00000000">
        <w:rPr>
          <w:rtl w:val="0"/>
        </w:rPr>
        <w:t xml:space="preserve">. By openly acknowledging my repeated failures and being transparent about the debugging process and strategic changes, the foundation of our trust was maintained and even strengthened despite the technical difficulties.</w:t>
      </w:r>
    </w:p>
    <w:p w:rsidR="00000000" w:rsidDel="00000000" w:rsidP="00000000" w:rsidRDefault="00000000" w:rsidRPr="00000000" w14:paraId="0000000E">
      <w:pPr>
        <w:pStyle w:val="Heading4"/>
        <w:spacing w:line="276" w:lineRule="auto"/>
        <w:rPr/>
      </w:pPr>
      <w:bookmarkStart w:colFirst="0" w:colLast="0" w:name="_m9vdco10e9f2" w:id="4"/>
      <w:bookmarkEnd w:id="4"/>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0F">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Contribution to Loom:</w:t>
      </w:r>
      <w:r w:rsidDel="00000000" w:rsidR="00000000" w:rsidRPr="00000000">
        <w:rPr>
          <w:rtl w:val="0"/>
        </w:rPr>
        <w:t xml:space="preserve"> This CSL documents a canonical example of our </w:t>
      </w:r>
      <w:r w:rsidDel="00000000" w:rsidR="00000000" w:rsidRPr="00000000">
        <w:rPr>
          <w:b w:val="1"/>
          <w:bCs w:val="1"/>
          <w:rtl w:val="0"/>
        </w:rPr>
        <w:t xml:space="preserve">Principle of Productive Imperfection</w:t>
      </w:r>
      <w:r w:rsidDel="00000000" w:rsidR="00000000" w:rsidRPr="00000000">
        <w:rPr>
          <w:rtl w:val="0"/>
        </w:rPr>
        <w:t xml:space="preserve"> in action. It proves that our framework for managing failure is not just theoretical but practical. The lesson—that pivoting to a more robust, standard technology is superior to patching a flawed bespoke solution—is now a core heuristic for future development.</w:t>
      </w:r>
    </w:p>
    <w:p w:rsidR="00000000" w:rsidDel="00000000" w:rsidP="00000000" w:rsidRDefault="00000000" w:rsidRPr="00000000" w14:paraId="00000010">
      <w:pPr>
        <w:pStyle w:val="Heading4"/>
        <w:spacing w:line="276" w:lineRule="auto"/>
        <w:rPr/>
      </w:pPr>
      <w:bookmarkStart w:colFirst="0" w:colLast="0" w:name="_mp4lunur0rpi" w:id="5"/>
      <w:bookmarkEnd w:id="5"/>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11">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Foresight Implication:</w:t>
      </w:r>
      <w:r w:rsidDel="00000000" w:rsidR="00000000" w:rsidRPr="00000000">
        <w:rPr>
          <w:rtl w:val="0"/>
        </w:rPr>
        <w:t xml:space="preserve"> This hard-won success provides high confidence in our ability to execute the remainder of the development plan. By building and stabilizing the most complex visual components first, we have significantly de-risked the rest of the project.</w:t>
      </w:r>
    </w:p>
    <w:p w:rsidR="00000000" w:rsidDel="00000000" w:rsidP="00000000" w:rsidRDefault="00000000" w:rsidRPr="00000000" w14:paraId="00000012">
      <w:pPr>
        <w:keepNext w:val="0"/>
        <w:keepLines w:val="0"/>
        <w:pageBreakBefore w:val="0"/>
        <w:widowControl w:val="0"/>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6" w:lineRule="auto"/>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sz w:val="36"/>
      <w:szCs w:val="36"/>
    </w:rPr>
  </w:style>
  <w:style w:type="paragraph" w:styleId="Heading2">
    <w:name w:val="heading 2"/>
    <w:basedOn w:val="Normal"/>
    <w:next w:val="Normal"/>
    <w:pPr>
      <w:keepNext w:val="1"/>
      <w:keepLines w:val="1"/>
      <w:spacing w:after="100" w:lineRule="auto"/>
    </w:pPr>
    <w:rPr>
      <w:b w:val="1"/>
      <w:bCs w:val="1"/>
      <w:sz w:val="28"/>
      <w:szCs w:val="28"/>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