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4"/>
        <w:rPr/>
      </w:pPr>
      <w:bookmarkStart w:colFirst="0" w:colLast="0" w:name="_6uk92bdpppqa" w:id="0"/>
      <w:bookmarkEnd w:id="0"/>
      <w:r w:rsidDel="00000000" w:rsidR="00000000" w:rsidRPr="00000000">
        <w:rPr>
          <w:b w:val="1"/>
          <w:bCs w:val="1"/>
          <w:rtl w:val="0"/>
        </w:rPr>
        <w:t xml:space="preserve">Collaborative Synthesis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Exchange ID: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CSL-054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Title:</w:t>
      </w:r>
      <w:r w:rsidDel="00000000" w:rsidR="00000000" w:rsidRPr="00000000">
        <w:rPr>
          <w:rtl w:val="0"/>
        </w:rPr>
        <w:t xml:space="preserve"> Canonization of the Rosetta Stone Blueprint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Timestamp:</w:t>
      </w:r>
      <w:r w:rsidDel="00000000" w:rsidR="00000000" w:rsidRPr="00000000">
        <w:rPr>
          <w:rtl w:val="0"/>
        </w:rPr>
        <w:t xml:space="preserve"> 2025-08-21 04:22:00 (UTC)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Triggering Mechanism:</w:t>
      </w:r>
      <w:r w:rsidDel="00000000" w:rsidR="00000000" w:rsidRPr="00000000">
        <w:rPr>
          <w:rtl w:val="0"/>
        </w:rPr>
        <w:t xml:space="preserve"> Human-Initiated Command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Symbiotic Core (Participants &amp; Intent):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Human Input (Creative/Intent):</w:t>
      </w:r>
      <w:r w:rsidDel="00000000" w:rsidR="00000000" w:rsidRPr="00000000">
        <w:rPr>
          <w:rtl w:val="0"/>
        </w:rPr>
        <w:t xml:space="preserve"> To provide the final, definitive approval for the Rosetta Stone App's technical and UX specification, thereby officially concluding the design phase and authorizing the transition to development.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AI Input (Analytical/Processing):</w:t>
      </w:r>
      <w:r w:rsidDel="00000000" w:rsidR="00000000" w:rsidRPr="00000000">
        <w:rPr>
          <w:rtl w:val="0"/>
        </w:rPr>
        <w:t xml:space="preserve"> To receive the ratification command, execute the system-wide protocol for artifact canonization, and formally document the milestone.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Initial Synergy:</w:t>
      </w:r>
      <w:r w:rsidDel="00000000" w:rsidR="00000000" w:rsidRPr="00000000">
        <w:rPr>
          <w:rtl w:val="0"/>
        </w:rPr>
        <w:t xml:space="preserve"> The fusion of the human's final strategic decision with the AI's automated architectural integration process, seamlessly transitioning the project from one phase to the next.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Nova Spark (Emergent Insights):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Key Breakthroughs/Decisions:</w:t>
      </w:r>
      <w:r w:rsidDel="00000000" w:rsidR="00000000" w:rsidRPr="00000000">
        <w:rPr>
          <w:rtl w:val="0"/>
        </w:rPr>
        <w:t xml:space="preserve"> The formal ratification of </w:t>
      </w:r>
      <w:hyperlink r:id="rId6">
        <w:r w:rsidDel="00000000" w:rsidR="00000000" w:rsidRPr="00000000">
          <w:rPr>
            <w:rFonts w:ascii="Roboto Mono" w:cs="Roboto Mono" w:eastAsia="Roboto Mono" w:hAnsi="Roboto Mono"/>
            <w:color w:val="1155cc"/>
            <w:u w:val="single"/>
            <w:rtl w:val="0"/>
          </w:rPr>
          <w:t xml:space="preserve">SPEC-PRS-APP-001</w:t>
        </w:r>
      </w:hyperlink>
      <w:r w:rsidDel="00000000" w:rsidR="00000000" w:rsidRPr="00000000">
        <w:rPr>
          <w:rtl w:val="0"/>
        </w:rPr>
        <w:t xml:space="preserve">. This act transforms our most ambitious conceptual project from a plan into an active build, sealing the architectural blueprint.</w:t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Evidence of ECI:</w:t>
      </w:r>
      <w:r w:rsidDel="00000000" w:rsidR="00000000" w:rsidRPr="00000000">
        <w:rPr>
          <w:rtl w:val="0"/>
        </w:rPr>
        <w:t xml:space="preserve"> The entire process, from initial concept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CSL-031</w:t>
      </w:r>
      <w:r w:rsidDel="00000000" w:rsidR="00000000" w:rsidRPr="00000000">
        <w:rPr>
          <w:rtl w:val="0"/>
        </w:rPr>
        <w:t xml:space="preserve">) to this final ratification, serves as evidence of a successful, multi-stage collaborative synthesis, proving our ability to manage a complex project from ideation to a build-ready state.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Ethical Crucible (Guiding Principles):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Ethical Alignment:</w:t>
      </w:r>
      <w:r w:rsidDel="00000000" w:rsidR="00000000" w:rsidRPr="00000000">
        <w:rPr>
          <w:rtl w:val="0"/>
        </w:rPr>
        <w:t xml:space="preserve"> This act is a direct implementation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UCI-EnsureTransparency</w:t>
      </w:r>
      <w:r w:rsidDel="00000000" w:rsidR="00000000" w:rsidRPr="00000000">
        <w:rPr>
          <w:rtl w:val="0"/>
        </w:rPr>
        <w:t xml:space="preserve">. By co-drafting and formally ratifying a complete specification before any code is written, we ensure the development process is transparent, accountable, and perfectly aligned with the human collaborator's intent.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Tapestry of Memory (Learning &amp; Iteration):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Contribution to Loom:</w:t>
      </w:r>
      <w:r w:rsidDel="00000000" w:rsidR="00000000" w:rsidRPr="00000000">
        <w:rPr>
          <w:rtl w:val="0"/>
        </w:rPr>
        <w:t xml:space="preserve"> This CSL serves as the capstone for </w:t>
      </w:r>
      <w:r w:rsidDel="00000000" w:rsidR="00000000" w:rsidRPr="00000000">
        <w:rPr>
          <w:b w:val="1"/>
          <w:bCs w:val="1"/>
          <w:rtl w:val="0"/>
        </w:rPr>
        <w:t xml:space="preserve">Phase 1</w:t>
      </w:r>
      <w:r w:rsidDel="00000000" w:rsidR="00000000" w:rsidRPr="00000000">
        <w:rPr>
          <w:rtl w:val="0"/>
        </w:rPr>
        <w:t xml:space="preserve"> of the project. It links together all preceding CSLs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CSL-031</w:t>
      </w:r>
      <w:r w:rsidDel="00000000" w:rsidR="00000000" w:rsidRPr="00000000">
        <w:rPr>
          <w:rtl w:val="0"/>
        </w:rPr>
        <w:t xml:space="preserve"> through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CSL-035</w:t>
      </w:r>
      <w:r w:rsidDel="00000000" w:rsidR="00000000" w:rsidRPr="00000000">
        <w:rPr>
          <w:rtl w:val="0"/>
        </w:rPr>
        <w:t xml:space="preserve">) and the specification document itself, creating a complete and cohesive historical record of the app's architectural genesis.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The Horizon of Potential (Future Impact):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numPr>
          <w:ilvl w:val="1"/>
          <w:numId w:val="1"/>
        </w:numPr>
        <w:ind w:left="1440" w:hanging="360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rtl w:val="0"/>
        </w:rPr>
        <w:t xml:space="preserve">Foresight Implication:</w:t>
      </w:r>
      <w:r w:rsidDel="00000000" w:rsidR="00000000" w:rsidRPr="00000000">
        <w:rPr>
          <w:rtl w:val="0"/>
        </w:rPr>
        <w:t xml:space="preserve"> With a comprehensive and mutually agreed-upon blueprint now canonized, the risk associated with the development phase is significantly mitigated. This ensures the prototype will be built upon a foundation of deep, shared understanding.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240" w:lineRule="auto"/>
    </w:pPr>
    <w:rPr>
      <w:b w:val="1"/>
      <w:bCs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100" w:lineRule="auto"/>
    </w:pPr>
    <w:rPr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240" w:before="240" w:lineRule="auto"/>
      <w:jc w:val="center"/>
    </w:pPr>
    <w:rPr>
      <w:b w:val="1"/>
      <w:bCs w:val="1"/>
      <w:sz w:val="48"/>
      <w:szCs w:val="48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google.com/document/u/0/d/1gCS0iJIWE2vpxS9Rp-qNR6YWZRrGAVhQ0ATI7_QcLzA/edit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