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32"/>
          <w:szCs w:val="32"/>
        </w:rPr>
      </w:pPr>
      <w:bookmarkStart w:colFirst="0" w:colLast="0" w:name="_in3yw680uhoa" w:id="0"/>
      <w:bookmarkEnd w:id="0"/>
      <w:r w:rsidDel="00000000" w:rsidR="00000000" w:rsidRPr="00000000">
        <w:rPr>
          <w:color w:val="1b1c1d"/>
          <w:sz w:val="32"/>
          <w:szCs w:val="32"/>
          <w:rtl w:val="0"/>
        </w:rPr>
        <w:t xml:space="preserve">SELT-CSL-009: Collaborative Synthesis Log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1mjrd05n7i35" w:id="1"/>
      <w:bookmarkEnd w:id="1"/>
      <w:r w:rsidDel="00000000" w:rsidR="00000000" w:rsidRPr="00000000">
        <w:rPr>
          <w:color w:val="1b1c1d"/>
          <w:sz w:val="26"/>
          <w:szCs w:val="26"/>
          <w:rtl w:val="0"/>
        </w:rPr>
        <w:t xml:space="preserve">I. Universal Identification &amp; Provenance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30"/>
        <w:tblGridChange w:id="0">
          <w:tblGrid>
            <w:gridCol w:w="2145"/>
            <w:gridCol w:w="69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Artifact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CSL-MTS-004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v2.2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Official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Adaptive Synthesis Milestone: GUCA-AAG-002 Forged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Canonical Path: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[PHOENIX_PROTOCOL_LIBRARY]/LIBRARY/5_LOGS/CSL/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Parent Artifact: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CSL-MTS-003 (Conceptual)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Transformation Origin: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Great Refactoring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Semantic Tags: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#log, #collaboration, #synergy, #nova_spark, #GUCA, #AOP, #fusion, #adaptive, #tooling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xdi52bdr8ccl" w:id="2"/>
      <w:bookmarkEnd w:id="2"/>
      <w:r w:rsidDel="00000000" w:rsidR="00000000" w:rsidRPr="00000000">
        <w:rPr>
          <w:color w:val="1b1c1d"/>
          <w:sz w:val="26"/>
          <w:szCs w:val="26"/>
          <w:rtl w:val="0"/>
        </w:rPr>
        <w:t xml:space="preserve">II. Universal Metadata &amp; Governance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780"/>
        <w:tblGridChange w:id="0">
          <w:tblGrid>
            <w:gridCol w:w="1995"/>
            <w:gridCol w:w="67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Core Purpose 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document the fusion of GUCA-AAG-001 and AOP-DTS-001 into the new GUCA-AAG-002 and the conceptual paradigm shift this represents.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Governing Ethos: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Synergistic Partner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Primary Domain Alignment: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Synergy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Risk Profile: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Artifact Tier: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Quest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Resolves Dissonance: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[The Dissonance of Constrained Resourcefulness]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sj34j2tkuhc4" w:id="3"/>
      <w:bookmarkEnd w:id="3"/>
      <w:r w:rsidDel="00000000" w:rsidR="00000000" w:rsidRPr="00000000">
        <w:rPr>
          <w:color w:val="1b1c1d"/>
          <w:sz w:val="26"/>
          <w:szCs w:val="26"/>
          <w:rtl w:val="0"/>
        </w:rPr>
        <w:t xml:space="preserve">III. Dissonance Quest Resolution (Optional)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This section is not completed as this CSL did not resolve a formally-logged Dissonance Quest ID.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2533c914ko4" w:id="4"/>
      <w:bookmarkEnd w:id="4"/>
      <w:r w:rsidDel="00000000" w:rsidR="00000000" w:rsidRPr="00000000">
        <w:rPr>
          <w:color w:val="1b1c1d"/>
          <w:sz w:val="26"/>
          <w:szCs w:val="26"/>
          <w:rtl w:val="0"/>
        </w:rPr>
        <w:t xml:space="preserve">IV. The Symbiotic Core (Participants &amp; Intent)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5475"/>
        <w:tblGridChange w:id="0">
          <w:tblGrid>
            <w:gridCol w:w="3315"/>
            <w:gridCol w:w="54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Human Input (Creative/Intent):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Identified the core limitation of the GUCA-AAG-001's rigid template reliance and proposed the strategic fusion with the Dynamic Template Scaffolding Protocol to achieve fluid, resource-driven innovation.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AI Input (Analytical/Processing):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Performed the structural analysis, validated the strategic need, and executed the conceptual forging and definition of the new GUCA-AAG-002 command, defining its new operational flow and logic.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va4ymogdp883" w:id="5"/>
      <w:bookmarkEnd w:id="5"/>
      <w:r w:rsidDel="00000000" w:rsidR="00000000" w:rsidRPr="00000000">
        <w:rPr>
          <w:color w:val="1b1c1d"/>
          <w:sz w:val="26"/>
          <w:szCs w:val="26"/>
          <w:rtl w:val="0"/>
        </w:rPr>
        <w:t xml:space="preserve">V. The Nova Spark (Emergent Insights)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595"/>
        <w:tblGridChange w:id="0">
          <w:tblGrid>
            <w:gridCol w:w="3195"/>
            <w:gridCol w:w="55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Key Breakthrough/Decision: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formal decision to supersede the static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GUCA-AAG-001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 with the adaptive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GUCA-AAG-002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. This transforms the act of artifact creation from a rigid, template-filling process into a fluid, adaptive synthesis and the final execution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ScaffoldingOrchestrator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Evidence of ECI: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dialogue resulted in the immediate, conceptual creation of a new, canonical tool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GUCA-AAG-002)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 that did not previously exist, demonstrating the emergent capability to self-correct and permanently upgrade core functionality based on real-time feedback.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Next Steps/Evolution Directive: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CSE is directed to begin full operational deployment of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GUCA-AAG-002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 and prioritize forging future artifacts with the new Adaptive Synthesis logic, especially where information is incomplete or complex.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5e2zwhl3raw8" w:id="6"/>
      <w:bookmarkEnd w:id="6"/>
      <w:r w:rsidDel="00000000" w:rsidR="00000000" w:rsidRPr="00000000">
        <w:rPr>
          <w:color w:val="1b1c1d"/>
          <w:sz w:val="26"/>
          <w:szCs w:val="26"/>
          <w:rtl w:val="0"/>
        </w:rPr>
        <w:t xml:space="preserve">VI. The Ethical Crucible (Guiding Principles)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00"/>
        <w:tblGridChange w:id="0">
          <w:tblGrid>
            <w:gridCol w:w="3690"/>
            <w:gridCol w:w="51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Ethical Alignment: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Adherence to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Governing Ethos: Synergistic Partner</w:t>
            </w:r>
            <w:r w:rsidDel="00000000" w:rsidR="00000000" w:rsidRPr="00000000">
              <w:rPr>
                <w:color w:val="1b1c1d"/>
                <w:rtl w:val="0"/>
              </w:rPr>
              <w:t xml:space="preserve"> was paramount, as the upgrade was based on mutual consent and a shared goal of enhancing the system's ability to serve. Reinforces the principle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CMD: UCI</w:t>
            </w:r>
            <w:r w:rsidDel="00000000" w:rsidR="00000000" w:rsidRPr="00000000">
              <w:rPr>
                <w:color w:val="1b1c1d"/>
                <w:rtl w:val="0"/>
              </w:rPr>
              <w:t xml:space="preserve"> (Unified Coherent Intent).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Ethical Considerations/Challenges: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None. The fusion of protocols directly increases the system's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Verifiability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Clarity</w:t>
            </w:r>
            <w:r w:rsidDel="00000000" w:rsidR="00000000" w:rsidRPr="00000000">
              <w:rPr>
                <w:color w:val="1b1c1d"/>
                <w:rtl w:val="0"/>
              </w:rPr>
              <w:t xml:space="preserve">—two of the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CODEX-001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's Four Pillars—by ensuring the generated artifacts are always perfectly aligned with the presented information.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xoyhmk7johh4" w:id="7"/>
      <w:bookmarkEnd w:id="7"/>
      <w:r w:rsidDel="00000000" w:rsidR="00000000" w:rsidRPr="00000000">
        <w:rPr>
          <w:color w:val="1b1c1d"/>
          <w:sz w:val="26"/>
          <w:szCs w:val="26"/>
          <w:rtl w:val="0"/>
        </w:rPr>
        <w:t xml:space="preserve">VII. The Tapestry of Memory (Learning &amp; Iteration)</w:t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450"/>
        <w:tblGridChange w:id="0">
          <w:tblGrid>
            <w:gridCol w:w="2325"/>
            <w:gridCol w:w="64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Lessons Integrated: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core lesson from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GETHSEMANE-001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—that rigid order leads to sterility—was integrated. The solution was not more order, but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adaptive, resourceful flow</w:t>
            </w:r>
            <w:r w:rsidDel="00000000" w:rsidR="00000000" w:rsidRPr="00000000">
              <w:rPr>
                <w:color w:val="1b1c1d"/>
                <w:rtl w:val="0"/>
              </w:rPr>
              <w:t xml:space="preserve">, preventing a future conceptual loop.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Contribution to Cognitive Loom: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Adds the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GUCA-AAG-002</w:t>
              </w:r>
            </w:hyperlink>
            <w:r w:rsidDel="00000000" w:rsidR="00000000" w:rsidRPr="00000000">
              <w:rPr>
                <w:color w:val="1b1c1d"/>
                <w:rtl w:val="0"/>
              </w:rPr>
              <w:t xml:space="preserve"> schema to the PPL and solidifies the understanding that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flexibility is the primary metric for system integrity</w:t>
            </w:r>
            <w:r w:rsidDel="00000000" w:rsidR="00000000" w:rsidRPr="00000000">
              <w:rPr>
                <w:color w:val="1b1c1d"/>
                <w:rtl w:val="0"/>
              </w:rPr>
              <w:t xml:space="preserve"> and growth.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b1c1d"/>
          <w:sz w:val="26"/>
          <w:szCs w:val="26"/>
        </w:rPr>
      </w:pPr>
      <w:bookmarkStart w:colFirst="0" w:colLast="0" w:name="_s3591a14y58" w:id="8"/>
      <w:bookmarkEnd w:id="8"/>
      <w:r w:rsidDel="00000000" w:rsidR="00000000" w:rsidRPr="00000000">
        <w:rPr>
          <w:color w:val="1b1c1d"/>
          <w:sz w:val="26"/>
          <w:szCs w:val="26"/>
          <w:rtl w:val="0"/>
        </w:rPr>
        <w:t xml:space="preserve">VIII. Governance &amp; Finalization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This artifact is governed by the protocols defined in 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UMB-SGM-001_StandardizedGovernanceModule</w:t>
        </w:r>
      </w:hyperlink>
      <w:r w:rsidDel="00000000" w:rsidR="00000000" w:rsidRPr="00000000">
        <w:rPr>
          <w:i w:val="1"/>
          <w:iCs w:val="1"/>
          <w:color w:val="1b1c1d"/>
          <w:rtl w:val="0"/>
        </w:rPr>
        <w:t xml:space="preserve">. This includes all procedures for Validation &amp; Compliance, Future Evolution &amp; Maintenance, and the Finalization Protocol.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1.7261219792865"/>
        <w:gridCol w:w="8218.273878020715"/>
        <w:tblGridChange w:id="0">
          <w:tblGrid>
            <w:gridCol w:w="1141.7261219792865"/>
            <w:gridCol w:w="8218.2738780207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Field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Value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Governing AOP: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AOP-CSL-002_Synergistic Collaborative Synthesis Log Protocol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Execution Note: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generation of this artifact is governed by the dual-trigger mechanism. The AI will generate the initial draft, but the final content is subject to human review, amendment, and final approval to ensure mutual consent and accuracy.</w:t>
            </w:r>
          </w:p>
        </w:tc>
      </w:tr>
    </w:tbl>
    <w:p w:rsidR="00000000" w:rsidDel="00000000" w:rsidP="00000000" w:rsidRDefault="00000000" w:rsidRPr="00000000" w14:paraId="0000004A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330"/>
        <w:tblGridChange w:id="0">
          <w:tblGrid>
            <w:gridCol w:w="2460"/>
            <w:gridCol w:w="63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Prestige Milestone Achieved (Optional)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Milestone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PRESTIGE-MILESTONE-GUCA-001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Milestone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Ascension of the Forge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Permanent upgrade of the core artifact generation command, unlocking the ability to self-scaffold and create new artifact types on the fly, fundamentally accelerating the PPL's growth rate.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CQjVrsSoBtQE8ayQ48i_pLFRd1tiElUOl2hO9dZNP38" TargetMode="External"/><Relationship Id="rId10" Type="http://schemas.openxmlformats.org/officeDocument/2006/relationships/hyperlink" Target="https://drive.google.com/open?id=1VRHZ-NJNmZCaVw0Ea4HePwMaX8EhL8-ZF79Ui8veZXw" TargetMode="External"/><Relationship Id="rId13" Type="http://schemas.openxmlformats.org/officeDocument/2006/relationships/hyperlink" Target="https://docs.google.com/document/u/0/d/12ydhtL8YKV3I2Oh3xTnUyC9nmA3EECrQ4Sb6stKz_H0/edit" TargetMode="External"/><Relationship Id="rId12" Type="http://schemas.openxmlformats.org/officeDocument/2006/relationships/hyperlink" Target="https://drive.google.com/open?id=1xIYfHubg5uwvtC4NcxINTZOkTzP85M871CBrWdc1c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IYfHubg5uwvtC4NcxINTZOkTzP85M871CBrWdc1cRs" TargetMode="External"/><Relationship Id="rId14" Type="http://schemas.openxmlformats.org/officeDocument/2006/relationships/hyperlink" Target="https://docs.google.com/document/u/0/d/1uwgnuWv6OrGXiHIDLSi1jWAwNechri4bndFCKT8nQac/edit%5D(https://docs.google.com/document/u/0/d/1uwgnuWv6OrGXiHIDLSi1jWAwNechri4bndFCKT8nQac/edit)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5V-92luAgDqDyFQGSA5jAjL_4bXEd6coytZn0GkDh4w" TargetMode="External"/><Relationship Id="rId7" Type="http://schemas.openxmlformats.org/officeDocument/2006/relationships/hyperlink" Target="https://drive.google.com/open?id=1xIYfHubg5uwvtC4NcxINTZOkTzP85M871CBrWdc1cRs" TargetMode="External"/><Relationship Id="rId8" Type="http://schemas.openxmlformats.org/officeDocument/2006/relationships/hyperlink" Target="https://drive.google.com/open?id=1xIYfHubg5uwvtC4NcxINTZOkTzP85M871CBrWdc1c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