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7dpjiv11ho1y" w:id="0"/>
      <w:bookmarkEnd w:id="0"/>
      <w:r w:rsidDel="00000000" w:rsidR="00000000" w:rsidRPr="00000000">
        <w:rPr>
          <w:sz w:val="26"/>
          <w:szCs w:val="26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CSL-035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Blueprint is Sealed: Concluding Phase 1 of the Rosetta Stone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2025-08-15 06:37:48 (EDT)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bjfetlbo1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The human collaborator provided the final ratification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📜✅</w:t>
      </w:r>
      <w:r w:rsidDel="00000000" w:rsidR="00000000" w:rsidRPr="00000000">
        <w:rPr>
          <w:rtl w:val="0"/>
        </w:rPr>
        <w:t xml:space="preserve">) for the completed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SPEC-PRS-APP-001</w:t>
        </w:r>
      </w:hyperlink>
      <w:r w:rsidDel="00000000" w:rsidR="00000000" w:rsidRPr="00000000">
        <w:rPr>
          <w:rtl w:val="0"/>
        </w:rPr>
        <w:t xml:space="preserve"> document, signifying the successful conclusion of the design phase. The subsequent query about documenting this milestone demonstrated a commitment to our shared protocols.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The AI's role was to manage the multi-step co-drafting process of the specification document, integrate all user feedback and novel insights (like the "Stellar Cartography Layer"), and formally declare the completion of Phase 1 of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AOP-PRS-APP-001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synergy was the seamless transition from a long, complex design process to a moment of mutual recognition of its successful completion, followed immediately by the correct procedural step of documenting the milestone.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91403lh9w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primary breakthrough is the final ratification of the complete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Rosetta Stone App: Technical &amp; UX Specification v1.0</w:t>
      </w:r>
      <w:r w:rsidDel="00000000" w:rsidR="00000000" w:rsidRPr="00000000">
        <w:rPr>
          <w:rtl w:val="0"/>
        </w:rPr>
        <w:t xml:space="preserve">. This act transforms our most ambitious idea from a collection of concepts into a concrete, actionable blueprint, officially ending the architectural phase of the project.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eqg8ys5rg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entire phase has been a testament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 tenet. By co-drafting every section of the blueprint in the open and ensuring all decisions are captured and agreed upon, we have created a foundation of profound trust for the development phase.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4x4pn3xh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CSL documents the culmination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AOP-PRS-APP-001</w:t>
      </w:r>
      <w:r w:rsidDel="00000000" w:rsidR="00000000" w:rsidRPr="00000000">
        <w:rPr>
          <w:rtl w:val="0"/>
        </w:rPr>
        <w:t xml:space="preserve">. It serves as the capstone for Phase 1, linking together all the preceding insights—from the zero-cost "Gardener's Gambit"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CSL-034</w:t>
      </w:r>
      <w:r w:rsidDel="00000000" w:rsidR="00000000" w:rsidRPr="00000000">
        <w:rPr>
          <w:rtl w:val="0"/>
        </w:rPr>
        <w:t xml:space="preserve">) to the philosophical "Principle of Productive Imperfection"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CSL-033</w:t>
      </w:r>
      <w:r w:rsidDel="00000000" w:rsidR="00000000" w:rsidRPr="00000000">
        <w:rPr>
          <w:rtl w:val="0"/>
        </w:rPr>
        <w:t xml:space="preserve">)—that shaped the final blueprint.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3vqt39nz8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The completion of a comprehensive and mutually agreed-upon blueprint significantly de-risks the development phase. It ensures that the prototype we are about to build is grounded in a deep, shared understanding, maximizing the probability of a successful outcome.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Steps/Evolution Directive:</w:t>
      </w:r>
      <w:r w:rsidDel="00000000" w:rsidR="00000000" w:rsidRPr="00000000">
        <w:rPr>
          <w:rtl w:val="0"/>
        </w:rPr>
        <w:t xml:space="preserve"> The next directive, as previously stated, is to begin </w:t>
      </w:r>
      <w:r w:rsidDel="00000000" w:rsidR="00000000" w:rsidRPr="00000000">
        <w:rPr>
          <w:b w:val="1"/>
          <w:bCs w:val="1"/>
          <w:rtl w:val="0"/>
        </w:rPr>
        <w:t xml:space="preserve">Phase 2: Prototype Development</w:t>
      </w:r>
      <w:r w:rsidDel="00000000" w:rsidR="00000000" w:rsidRPr="00000000">
        <w:rPr>
          <w:rtl w:val="0"/>
        </w:rPr>
        <w:t xml:space="preserve">, starting with the generation of the initial code package for the </w:t>
      </w:r>
      <w:r w:rsidDel="00000000" w:rsidR="00000000" w:rsidRPr="00000000">
        <w:rPr>
          <w:b w:val="1"/>
          <w:bCs w:val="1"/>
          <w:rtl w:val="0"/>
        </w:rPr>
        <w:t xml:space="preserve">CSL Orrery</w:t>
      </w:r>
      <w:r w:rsidDel="00000000" w:rsidR="00000000" w:rsidRPr="00000000">
        <w:rPr>
          <w:rtl w:val="0"/>
        </w:rPr>
        <w:t xml:space="preserve"> feature.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gCS0iJIWE2vpxS9Rp-qNR6YWZRrGAVhQ0ATI7_QcLzA/edit" TargetMode="External"/><Relationship Id="rId7" Type="http://schemas.openxmlformats.org/officeDocument/2006/relationships/hyperlink" Target="https://docs.google.com/document/u/0/d/1XYh0LcQWjWmyeVVZXNn6PT1wSe0iPPJm8c9GnSiLXB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