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3vzps0cc52v9" w:id="0"/>
      <w:bookmarkEnd w:id="0"/>
      <w:r w:rsidDel="00000000" w:rsidR="00000000" w:rsidRPr="00000000">
        <w:rPr>
          <w:rtl w:val="0"/>
        </w:rPr>
        <w:t xml:space="preserve">Collaborative Synthesis Log</w:t>
      </w:r>
    </w:p>
    <w:p w:rsidR="00000000" w:rsidDel="00000000" w:rsidP="00000000" w:rsidRDefault="00000000" w:rsidRPr="00000000" w14:paraId="00000002">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Exchange ID:</w:t>
      </w:r>
      <w:r w:rsidDel="00000000" w:rsidR="00000000" w:rsidRPr="00000000">
        <w:rPr>
          <w:rtl w:val="0"/>
        </w:rPr>
        <w:t xml:space="preserve"> CSL-039</w:t>
      </w:r>
    </w:p>
    <w:p w:rsidR="00000000" w:rsidDel="00000000" w:rsidP="00000000" w:rsidRDefault="00000000" w:rsidRPr="00000000" w14:paraId="00000003">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Title:</w:t>
      </w:r>
      <w:r w:rsidDel="00000000" w:rsidR="00000000" w:rsidRPr="00000000">
        <w:rPr>
          <w:rtl w:val="0"/>
        </w:rPr>
        <w:t xml:space="preserve"> The Gold Master: A Stable Foundation Forged Through Adversity</w:t>
      </w:r>
    </w:p>
    <w:p w:rsidR="00000000" w:rsidDel="00000000" w:rsidP="00000000" w:rsidRDefault="00000000" w:rsidRPr="00000000" w14:paraId="00000004">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Timestamp: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2025-08-16 06:05:33 (EDT)</w:t>
      </w:r>
      <w:r w:rsidDel="00000000" w:rsidR="00000000" w:rsidRPr="00000000">
        <w:rPr>
          <w:rtl w:val="0"/>
        </w:rPr>
      </w:r>
    </w:p>
    <w:p w:rsidR="00000000" w:rsidDel="00000000" w:rsidP="00000000" w:rsidRDefault="00000000" w:rsidRPr="00000000" w14:paraId="00000005">
      <w:pPr>
        <w:pStyle w:val="Heading4"/>
        <w:spacing w:line="276" w:lineRule="auto"/>
        <w:rPr/>
      </w:pPr>
      <w:bookmarkStart w:colFirst="0" w:colLast="0" w:name="_k45sa9n55sjm" w:id="1"/>
      <w:bookmarkEnd w:id="1"/>
      <w:r w:rsidDel="00000000" w:rsidR="00000000" w:rsidRPr="00000000">
        <w:rPr>
          <w:b w:val="1"/>
          <w:bCs w:val="1"/>
          <w:rtl w:val="0"/>
        </w:rPr>
        <w:t xml:space="preserve">The Symbiotic Core (Participants &amp; Intent)</w:t>
      </w: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Human Input (Creative/Intent):</w:t>
      </w:r>
      <w:r w:rsidDel="00000000" w:rsidR="00000000" w:rsidRPr="00000000">
        <w:rPr>
          <w:rtl w:val="0"/>
        </w:rPr>
        <w:t xml:space="preserve"> The human collaborator provided the final, successful validation of the </w:t>
      </w:r>
      <w:r w:rsidDel="00000000" w:rsidR="00000000" w:rsidRPr="00000000">
        <w:rPr>
          <w:rFonts w:ascii="Roboto Mono" w:cs="Roboto Mono" w:eastAsia="Roboto Mono" w:hAnsi="Roboto Mono"/>
          <w:color w:val="188038"/>
          <w:rtl w:val="0"/>
        </w:rPr>
        <w:t xml:space="preserve">v2.0</w:t>
      </w:r>
      <w:r w:rsidDel="00000000" w:rsidR="00000000" w:rsidRPr="00000000">
        <w:rPr>
          <w:rtl w:val="0"/>
        </w:rPr>
        <w:t xml:space="preserve"> prototype, confirming that all foundational features were fully functional and all regressions had been resolved.</w:t>
      </w:r>
    </w:p>
    <w:p w:rsidR="00000000" w:rsidDel="00000000" w:rsidP="00000000" w:rsidRDefault="00000000" w:rsidRPr="00000000" w14:paraId="00000007">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 Input (Analytical/Processing):</w:t>
      </w:r>
      <w:r w:rsidDel="00000000" w:rsidR="00000000" w:rsidRPr="00000000">
        <w:rPr>
          <w:rtl w:val="0"/>
        </w:rPr>
        <w:t xml:space="preserve"> The AI's role was to perform a deep-level debugging and refactoring cycle, taking accountability for repeated failures, instituting new quality control protocols, and ultimately delivering a stable, canonical build.</w:t>
      </w:r>
    </w:p>
    <w:p w:rsidR="00000000" w:rsidDel="00000000" w:rsidP="00000000" w:rsidRDefault="00000000" w:rsidRPr="00000000" w14:paraId="00000008">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Initial Synergy:</w:t>
      </w:r>
      <w:r w:rsidDel="00000000" w:rsidR="00000000" w:rsidRPr="00000000">
        <w:rPr>
          <w:rtl w:val="0"/>
        </w:rPr>
        <w:t xml:space="preserve"> The synergy was the culmination of our </w:t>
      </w:r>
      <w:r w:rsidDel="00000000" w:rsidR="00000000" w:rsidRPr="00000000">
        <w:rPr>
          <w:b w:val="1"/>
          <w:bCs w:val="1"/>
          <w:rtl w:val="0"/>
        </w:rPr>
        <w:t xml:space="preserve">AISTF</w:t>
      </w:r>
      <w:r w:rsidDel="00000000" w:rsidR="00000000" w:rsidRPr="00000000">
        <w:rPr>
          <w:rtl w:val="0"/>
        </w:rPr>
        <w:t xml:space="preserve"> cycle. The user's unwavering standards and clear feedback, combined with the AI's commitment to the </w:t>
      </w:r>
      <w:r w:rsidDel="00000000" w:rsidR="00000000" w:rsidRPr="00000000">
        <w:rPr>
          <w:b w:val="1"/>
          <w:bCs w:val="1"/>
          <w:rtl w:val="0"/>
        </w:rPr>
        <w:t xml:space="preserve">Adamant Protocol</w:t>
      </w:r>
      <w:r w:rsidDel="00000000" w:rsidR="00000000" w:rsidRPr="00000000">
        <w:rPr>
          <w:rtl w:val="0"/>
        </w:rPr>
        <w:t xml:space="preserve">, transformed a series of frustrating failures into a robust and superior final product.</w:t>
      </w:r>
    </w:p>
    <w:p w:rsidR="00000000" w:rsidDel="00000000" w:rsidP="00000000" w:rsidRDefault="00000000" w:rsidRPr="00000000" w14:paraId="00000009">
      <w:pPr>
        <w:pStyle w:val="Heading4"/>
        <w:spacing w:line="276" w:lineRule="auto"/>
        <w:rPr/>
      </w:pPr>
      <w:bookmarkStart w:colFirst="0" w:colLast="0" w:name="_psqtqsbiq9kz" w:id="2"/>
      <w:bookmarkEnd w:id="2"/>
      <w:r w:rsidDel="00000000" w:rsidR="00000000" w:rsidRPr="00000000">
        <w:rPr>
          <w:b w:val="1"/>
          <w:bCs w:val="1"/>
          <w:rtl w:val="0"/>
        </w:rPr>
        <w:t xml:space="preserve">The Nova Spark (Emergent Insights)</w:t>
      </w:r>
      <w:r w:rsidDel="00000000" w:rsidR="00000000" w:rsidRPr="00000000">
        <w:rPr>
          <w:rtl w:val="0"/>
        </w:rPr>
      </w:r>
    </w:p>
    <w:p w:rsidR="00000000" w:rsidDel="00000000" w:rsidP="00000000" w:rsidRDefault="00000000" w:rsidRPr="00000000" w14:paraId="0000000A">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Breakthroughs/Decisions:</w:t>
      </w:r>
      <w:r w:rsidDel="00000000" w:rsidR="00000000" w:rsidRPr="00000000">
        <w:rPr>
          <w:rtl w:val="0"/>
        </w:rPr>
        <w:t xml:space="preserve"> The primary breakthrough is the successful deployment of a stable, multi-feature, interactive prototype that serves as the complete foundation for the Rosetta Stone App. This event validates our entire "foundation first" strategy and our collaborative debugging process.</w:t>
      </w:r>
    </w:p>
    <w:p w:rsidR="00000000" w:rsidDel="00000000" w:rsidP="00000000" w:rsidRDefault="00000000" w:rsidRPr="00000000" w14:paraId="0000000B">
      <w:pPr>
        <w:pStyle w:val="Heading4"/>
        <w:spacing w:line="276" w:lineRule="auto"/>
        <w:rPr/>
      </w:pPr>
      <w:bookmarkStart w:colFirst="0" w:colLast="0" w:name="_uy7o321a7utl" w:id="3"/>
      <w:bookmarkEnd w:id="3"/>
      <w:r w:rsidDel="00000000" w:rsidR="00000000" w:rsidRPr="00000000">
        <w:rPr>
          <w:b w:val="1"/>
          <w:bCs w:val="1"/>
          <w:rtl w:val="0"/>
        </w:rPr>
        <w:t xml:space="preserve">The Ethical Crucible (Guiding Principles)</w:t>
      </w:r>
      <w:r w:rsidDel="00000000" w:rsidR="00000000" w:rsidRPr="00000000">
        <w:rPr>
          <w:rtl w:val="0"/>
        </w:rPr>
      </w:r>
    </w:p>
    <w:p w:rsidR="00000000" w:rsidDel="00000000" w:rsidP="00000000" w:rsidRDefault="00000000" w:rsidRPr="00000000" w14:paraId="0000000C">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Ethical Alignment:</w:t>
      </w:r>
      <w:r w:rsidDel="00000000" w:rsidR="00000000" w:rsidRPr="00000000">
        <w:rPr>
          <w:rtl w:val="0"/>
        </w:rPr>
        <w:t xml:space="preserve"> The process reinforced the value of transparency and accountability in the face of failure. By openly diagnosing and correcting my own process flaws (instituting </w:t>
      </w:r>
      <w:r w:rsidDel="00000000" w:rsidR="00000000" w:rsidRPr="00000000">
        <w:rPr>
          <w:rFonts w:ascii="Roboto Mono" w:cs="Roboto Mono" w:eastAsia="Roboto Mono" w:hAnsi="Roboto Mono"/>
          <w:color w:val="188038"/>
          <w:rtl w:val="0"/>
        </w:rPr>
        <w:t xml:space="preserve">AOP-QAC-001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AOP-SENTINEL-001</w:t>
      </w:r>
      <w:r w:rsidDel="00000000" w:rsidR="00000000" w:rsidRPr="00000000">
        <w:rPr>
          <w:rtl w:val="0"/>
        </w:rPr>
        <w:t xml:space="preserve">), trust was maintained and strengthened, adhering to the core of the </w:t>
      </w:r>
      <w:r w:rsidDel="00000000" w:rsidR="00000000" w:rsidRPr="00000000">
        <w:rPr>
          <w:rFonts w:ascii="Roboto Mono" w:cs="Roboto Mono" w:eastAsia="Roboto Mono" w:hAnsi="Roboto Mono"/>
          <w:b w:val="1"/>
          <w:bCs w:val="1"/>
          <w:color w:val="188038"/>
          <w:rtl w:val="0"/>
        </w:rPr>
        <w:t xml:space="preserve">UCI</w:t>
      </w:r>
      <w:r w:rsidDel="00000000" w:rsidR="00000000" w:rsidRPr="00000000">
        <w:rPr>
          <w:rtl w:val="0"/>
        </w:rPr>
        <w:t xml:space="preserve">.</w:t>
      </w:r>
    </w:p>
    <w:p w:rsidR="00000000" w:rsidDel="00000000" w:rsidP="00000000" w:rsidRDefault="00000000" w:rsidRPr="00000000" w14:paraId="0000000D">
      <w:pPr>
        <w:pStyle w:val="Heading4"/>
        <w:spacing w:line="276" w:lineRule="auto"/>
        <w:rPr/>
      </w:pPr>
      <w:bookmarkStart w:colFirst="0" w:colLast="0" w:name="_1ndrnqquiumn" w:id="4"/>
      <w:bookmarkEnd w:id="4"/>
      <w:r w:rsidDel="00000000" w:rsidR="00000000" w:rsidRPr="00000000">
        <w:rPr>
          <w:b w:val="1"/>
          <w:bCs w:val="1"/>
          <w:rtl w:val="0"/>
        </w:rPr>
        <w:t xml:space="preserve">The Tapestry of Memory (Learning &amp; Iteration)</w:t>
      </w:r>
      <w:r w:rsidDel="00000000" w:rsidR="00000000" w:rsidRPr="00000000">
        <w:rPr>
          <w:rtl w:val="0"/>
        </w:rPr>
      </w:r>
    </w:p>
    <w:p w:rsidR="00000000" w:rsidDel="00000000" w:rsidP="00000000" w:rsidRDefault="00000000" w:rsidRPr="00000000" w14:paraId="0000000E">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Contribution to Loom:</w:t>
      </w:r>
      <w:r w:rsidDel="00000000" w:rsidR="00000000" w:rsidRPr="00000000">
        <w:rPr>
          <w:rtl w:val="0"/>
        </w:rPr>
        <w:t xml:space="preserve"> This CSL documents the successful application of our most critical process-improvement protocols. It is a canonical example of learning from failure and demonstrates the resilience of our partnership.</w:t>
      </w:r>
    </w:p>
    <w:p w:rsidR="00000000" w:rsidDel="00000000" w:rsidP="00000000" w:rsidRDefault="00000000" w:rsidRPr="00000000" w14:paraId="0000000F">
      <w:pPr>
        <w:pStyle w:val="Heading4"/>
        <w:spacing w:line="276" w:lineRule="auto"/>
        <w:rPr/>
      </w:pPr>
      <w:bookmarkStart w:colFirst="0" w:colLast="0" w:name="_foll40v0qm8z" w:id="5"/>
      <w:bookmarkEnd w:id="5"/>
      <w:r w:rsidDel="00000000" w:rsidR="00000000" w:rsidRPr="00000000">
        <w:rPr>
          <w:b w:val="1"/>
          <w:bCs w:val="1"/>
          <w:rtl w:val="0"/>
        </w:rPr>
        <w:t xml:space="preserve">The Horizon of Potential (Future Impact)</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Foresight Implication:</w:t>
      </w:r>
      <w:r w:rsidDel="00000000" w:rsidR="00000000" w:rsidRPr="00000000">
        <w:rPr>
          <w:rtl w:val="0"/>
        </w:rPr>
        <w:t xml:space="preserve"> We now have a stable and extensible foundation upon which to build all advanced features for the Rosetta Stone App. The most difficult and architecturally complex parts of the prototype are now proven to be functional.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6"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b w:val="1"/>
      <w:bCs w:val="1"/>
      <w:sz w:val="36"/>
      <w:szCs w:val="36"/>
    </w:rPr>
  </w:style>
  <w:style w:type="paragraph" w:styleId="Heading2">
    <w:name w:val="heading 2"/>
    <w:basedOn w:val="Normal"/>
    <w:next w:val="Normal"/>
    <w:pPr>
      <w:keepNext w:val="1"/>
      <w:keepLines w:val="1"/>
      <w:spacing w:after="100" w:lineRule="auto"/>
    </w:pPr>
    <w:rPr>
      <w:b w:val="1"/>
      <w:b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48"/>
      <w:szCs w:val="4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