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9E892C">
      <w:pPr>
        <w:spacing w:before="480" w:after="480" w:line="288" w:lineRule="auto"/>
        <w:ind w:left="0"/>
        <w:jc w:val="center"/>
      </w:pPr>
      <w:r>
        <w:rPr>
          <w:rFonts w:ascii="Arial" w:hAnsi="Arial" w:eastAsia="等线" w:cs="Arial"/>
          <w:b/>
          <w:sz w:val="52"/>
        </w:rPr>
        <w:t>Topic Proposal</w:t>
      </w:r>
    </w:p>
    <w:p w14:paraId="0707586D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项目题目</w:t>
      </w:r>
      <w:bookmarkEnd w:id="0"/>
    </w:p>
    <w:p w14:paraId="3F3B95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可转债转股价下修与提前强赎双事件全生命周期跟踪及结构化分析</w:t>
      </w:r>
    </w:p>
    <w:p w14:paraId="3BC596F2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金融问题</w:t>
      </w:r>
      <w:bookmarkEnd w:id="1"/>
    </w:p>
    <w:p w14:paraId="62FCE2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99" w:firstLineChars="0"/>
        <w:jc w:val="both"/>
        <w:textAlignment w:val="auto"/>
      </w:pPr>
      <w:r>
        <w:rPr>
          <w:rFonts w:ascii="Arial" w:hAnsi="Arial" w:eastAsia="等线" w:cs="Arial"/>
          <w:sz w:val="22"/>
        </w:rPr>
        <w:t>可转债是上市公司重要的融资工具，转股价下修、提前强赎是存续期内最核心的两大资本运作事件。目前巨潮资讯网相关公告分散、文本非结构化，人工整理耗时费力，难以快速梳理事件时间线、提取关键条款与价格数据，也无法批量量化下修幅度、赎回溢价等核心指标。</w:t>
      </w:r>
    </w:p>
    <w:p w14:paraId="47675D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 w:firstLine="499" w:firstLineChars="0"/>
        <w:jc w:val="both"/>
        <w:textAlignment w:val="auto"/>
      </w:pPr>
      <w:r>
        <w:rPr>
          <w:rFonts w:ascii="Arial" w:hAnsi="Arial" w:eastAsia="等线" w:cs="Arial"/>
          <w:sz w:val="22"/>
        </w:rPr>
        <w:t>本项目旨在通过金融文本智能技术，自动归集可转债下修、强赎多类公告，完成PDF解析、章节定位、关键信息结构化抽取、数值标准化与跨公告事件匹配，构建完整事件时间线，量化核心金融指标，实现可转债重大事项的自动归集、可追溯、可对比的结构化分析，解决人工整理效率低、信息零散、难以量化评估的现实问题。</w:t>
      </w:r>
    </w:p>
    <w:p w14:paraId="198AF345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巨潮数据来源</w:t>
      </w:r>
      <w:bookmarkEnd w:id="2"/>
    </w:p>
    <w:p w14:paraId="48064D0D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全部数据</w:t>
      </w:r>
      <w:r>
        <w:rPr>
          <w:rFonts w:ascii="Arial" w:hAnsi="Arial" w:eastAsia="等线" w:cs="Arial"/>
          <w:b/>
          <w:sz w:val="22"/>
        </w:rPr>
        <w:t>来源于巨潮资讯网（</w:t>
      </w:r>
      <w:r>
        <w:fldChar w:fldCharType="begin"/>
      </w:r>
      <w:r>
        <w:instrText xml:space="preserve"> HYPERLINK "http://cninfo.com.cn" \h </w:instrText>
      </w:r>
      <w:r>
        <w:fldChar w:fldCharType="separate"/>
      </w:r>
      <w:r>
        <w:rPr>
          <w:rFonts w:ascii="Arial" w:hAnsi="Arial" w:eastAsia="等线" w:cs="Arial"/>
          <w:b/>
          <w:color w:val="3370FF"/>
          <w:sz w:val="22"/>
        </w:rPr>
        <w:t>cninfo.com.cn</w:t>
      </w:r>
      <w:r>
        <w:rPr>
          <w:rFonts w:ascii="Arial" w:hAnsi="Arial" w:eastAsia="等线" w:cs="Arial"/>
          <w:b/>
          <w:color w:val="3370FF"/>
          <w:sz w:val="22"/>
        </w:rPr>
        <w:fldChar w:fldCharType="end"/>
      </w:r>
      <w:r>
        <w:rPr>
          <w:rFonts w:ascii="Arial" w:hAnsi="Arial" w:eastAsia="等线" w:cs="Arial"/>
          <w:b/>
          <w:sz w:val="22"/>
        </w:rPr>
        <w:t>）</w:t>
      </w:r>
      <w:r>
        <w:rPr>
          <w:rFonts w:ascii="Arial" w:hAnsi="Arial" w:eastAsia="等线" w:cs="Arial"/>
          <w:sz w:val="22"/>
        </w:rPr>
        <w:t xml:space="preserve"> A股上市公司公开发行可转债的官方信息披露PDF公告，无外部第三方数据源，符合课程数据合规要求。</w:t>
      </w:r>
    </w:p>
    <w:p w14:paraId="15E9AA34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公告类型</w:t>
      </w:r>
      <w:bookmarkEnd w:id="3"/>
    </w:p>
    <w:p w14:paraId="688FD08F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一、转股价下修相关公告</w:t>
      </w:r>
      <w:bookmarkEnd w:id="4"/>
    </w:p>
    <w:p w14:paraId="18CF936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可转债触发转股价向下修正条件提示公告</w:t>
      </w:r>
    </w:p>
    <w:p w14:paraId="79D2D60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董事会关于转股价向下修正的提议公告</w:t>
      </w:r>
    </w:p>
    <w:p w14:paraId="3987FA03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股东大会审议转股价下修决议公告</w:t>
      </w:r>
    </w:p>
    <w:p w14:paraId="7F164A17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转股价向下修正实施公告</w:t>
      </w:r>
    </w:p>
    <w:p w14:paraId="4C65CB6D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二、可转债提前强赎相关公告</w:t>
      </w:r>
      <w:bookmarkEnd w:id="5"/>
    </w:p>
    <w:p w14:paraId="492E3C4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可转债满足提前赎回条件提示公告</w:t>
      </w:r>
    </w:p>
    <w:p w14:paraId="48858172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公司行使可转债提前赎回权决议公告</w:t>
      </w:r>
    </w:p>
    <w:p w14:paraId="173A24D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可转债提前赎回实施提示公告</w:t>
      </w:r>
    </w:p>
    <w:p w14:paraId="6AA1AA1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可转债提前赎回结果暨摘牌公告</w:t>
      </w:r>
    </w:p>
    <w:p w14:paraId="52522122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示例公告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6585A3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D513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公司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D5C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代码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E79F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EA6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7A4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URL</w:t>
            </w:r>
          </w:p>
        </w:tc>
      </w:tr>
      <w:tr w14:paraId="1FCB80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E8F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美锦能源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0B20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000723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597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关于美锦转债预计触发转股价格向下修正条件的提示性公告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4CB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2026-05-12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ED6DD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"https://www.cninfo.com.cn/new/disclosure/detail?orgId=gssz0000723&amp;announcementId=1225291010&amp;announcementTime=2026-05-12"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https://www.cninfo.com.cn/new/disclosure/detail?orgId=gssz0000723&amp;announcementId=1225291010&amp;announcementTime=2026-05-12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</w:tr>
      <w:tr w14:paraId="34EA80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D5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龙大美食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756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002726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077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关于董事会提议向下修正“龙大转债”转股价格的公告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DAF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2026-05-07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8C5D5">
            <w:pPr>
              <w:spacing w:before="120" w:after="120" w:line="288" w:lineRule="auto"/>
              <w:ind w:left="0"/>
              <w:jc w:val="left"/>
            </w:pPr>
            <w:r>
              <w:fldChar w:fldCharType="begin"/>
            </w:r>
            <w:r>
              <w:instrText xml:space="preserve"> HYPERLINK "https://www.cninfo.com.cn/new/disclosure/detail?orgId=9900023003&amp;announcementId=1225280233&amp;announcementTime=2026-05-07" \h </w:instrText>
            </w:r>
            <w:r>
              <w:fldChar w:fldCharType="separate"/>
            </w:r>
            <w:r>
              <w:rPr>
                <w:rFonts w:ascii="Arial" w:hAnsi="Arial" w:eastAsia="等线" w:cs="Arial"/>
                <w:color w:val="3370FF"/>
                <w:sz w:val="22"/>
              </w:rPr>
              <w:t>https://www.cninfo.com.cn/new/disclosure/detail?orgId=9900023003&amp;announcementId=1225280233&amp;announcementTime=2026-05-07</w:t>
            </w:r>
            <w:r>
              <w:rPr>
                <w:rFonts w:ascii="Arial" w:hAnsi="Arial" w:eastAsia="等线" w:cs="Arial"/>
                <w:color w:val="3370FF"/>
                <w:sz w:val="22"/>
              </w:rPr>
              <w:fldChar w:fldCharType="end"/>
            </w:r>
          </w:p>
        </w:tc>
      </w:tr>
    </w:tbl>
    <w:p w14:paraId="3CB18164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目标字段</w:t>
      </w:r>
      <w:bookmarkEnd w:id="7"/>
    </w:p>
    <w:tbl>
      <w:tblPr>
        <w:tblStyle w:val="2"/>
        <w:tblW w:w="8742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389"/>
        <w:gridCol w:w="1339"/>
        <w:gridCol w:w="2222"/>
        <w:gridCol w:w="2142"/>
      </w:tblGrid>
      <w:tr w14:paraId="3701AE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DDA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1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0CB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2D1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是否必填</w:t>
            </w:r>
            <w:bookmarkStart w:id="11" w:name="_GoBack"/>
            <w:bookmarkEnd w:id="11"/>
          </w:p>
        </w:tc>
        <w:tc>
          <w:tcPr>
            <w:tcW w:w="2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A13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金融含义</w:t>
            </w:r>
          </w:p>
        </w:tc>
        <w:tc>
          <w:tcPr>
            <w:tcW w:w="21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F19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证据来源</w:t>
            </w:r>
          </w:p>
        </w:tc>
      </w:tr>
      <w:tr w14:paraId="17DEFE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1F2C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文档编号doc_id</w:t>
            </w:r>
          </w:p>
        </w:tc>
        <w:tc>
          <w:tcPr>
            <w:tcW w:w="1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F83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FDC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0C8B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唯一标识单份公告，用于溯源匹配</w:t>
            </w:r>
          </w:p>
        </w:tc>
        <w:tc>
          <w:tcPr>
            <w:tcW w:w="21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C22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公告头部信息</w:t>
            </w:r>
          </w:p>
        </w:tc>
      </w:tr>
      <w:tr w14:paraId="0E68A0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4316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正股代码stock_code</w:t>
            </w:r>
          </w:p>
        </w:tc>
        <w:tc>
          <w:tcPr>
            <w:tcW w:w="1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2CD0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9204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18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标识上市公司主体</w:t>
            </w:r>
          </w:p>
        </w:tc>
        <w:tc>
          <w:tcPr>
            <w:tcW w:w="21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5C4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公告标题/开篇简介</w:t>
            </w:r>
          </w:p>
        </w:tc>
      </w:tr>
      <w:tr w14:paraId="42B4CF7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693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正股名称stock_name</w:t>
            </w:r>
          </w:p>
        </w:tc>
        <w:tc>
          <w:tcPr>
            <w:tcW w:w="1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A60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869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36A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对应上市公司全称</w:t>
            </w:r>
          </w:p>
        </w:tc>
        <w:tc>
          <w:tcPr>
            <w:tcW w:w="21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819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公告标题/开篇简介</w:t>
            </w:r>
          </w:p>
        </w:tc>
      </w:tr>
      <w:tr w14:paraId="130DEE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5B9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转债代码bond_code</w:t>
            </w:r>
          </w:p>
        </w:tc>
        <w:tc>
          <w:tcPr>
            <w:tcW w:w="1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8A0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5565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E34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可转债唯一代码，用于跨公告匹配</w:t>
            </w:r>
          </w:p>
        </w:tc>
        <w:tc>
          <w:tcPr>
            <w:tcW w:w="21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B3A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公告标题/条款章节</w:t>
            </w:r>
          </w:p>
        </w:tc>
      </w:tr>
      <w:tr w14:paraId="2DA874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A90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转债名称bond_name</w:t>
            </w:r>
          </w:p>
        </w:tc>
        <w:tc>
          <w:tcPr>
            <w:tcW w:w="1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28D4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EC5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B6C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可转债简称</w:t>
            </w:r>
          </w:p>
        </w:tc>
        <w:tc>
          <w:tcPr>
            <w:tcW w:w="21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F21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公告标题/条款章节</w:t>
            </w:r>
          </w:p>
        </w:tc>
      </w:tr>
      <w:tr w14:paraId="4E1E49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36D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公告类型ann_type</w:t>
            </w:r>
          </w:p>
        </w:tc>
        <w:tc>
          <w:tcPr>
            <w:tcW w:w="1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945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7C3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828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区分下修类/强赎类细分公告</w:t>
            </w:r>
          </w:p>
        </w:tc>
        <w:tc>
          <w:tcPr>
            <w:tcW w:w="21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94D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公告标题定性</w:t>
            </w:r>
          </w:p>
        </w:tc>
      </w:tr>
      <w:tr w14:paraId="314E51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B9B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公告发布日期publish_date</w:t>
            </w:r>
          </w:p>
        </w:tc>
        <w:tc>
          <w:tcPr>
            <w:tcW w:w="1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E3D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171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162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用于事件时间线排序</w:t>
            </w:r>
          </w:p>
        </w:tc>
        <w:tc>
          <w:tcPr>
            <w:tcW w:w="21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1E56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公告落款日期</w:t>
            </w:r>
          </w:p>
        </w:tc>
      </w:tr>
      <w:tr w14:paraId="4309FD3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331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下修触发规则trigger_rule</w:t>
            </w:r>
          </w:p>
        </w:tc>
        <w:tc>
          <w:tcPr>
            <w:tcW w:w="1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E1D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D55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39F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转股价下修的市场价格触发条件</w:t>
            </w:r>
          </w:p>
        </w:tc>
        <w:tc>
          <w:tcPr>
            <w:tcW w:w="21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72A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风险与条款章节</w:t>
            </w:r>
          </w:p>
        </w:tc>
      </w:tr>
      <w:tr w14:paraId="1FC359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A4A2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修正前转股价original_conv_price</w:t>
            </w:r>
          </w:p>
        </w:tc>
        <w:tc>
          <w:tcPr>
            <w:tcW w:w="1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83F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浮点型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BC17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147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下修调整前基准转股价格</w:t>
            </w:r>
          </w:p>
        </w:tc>
        <w:tc>
          <w:tcPr>
            <w:tcW w:w="21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771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转股价格章节</w:t>
            </w:r>
          </w:p>
        </w:tc>
      </w:tr>
      <w:tr w14:paraId="2D51FB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1FAA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修正后转股价new_conv_price</w:t>
            </w:r>
          </w:p>
        </w:tc>
        <w:tc>
          <w:tcPr>
            <w:tcW w:w="1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BB1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浮点型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169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5C8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下修调整后最新转股价格</w:t>
            </w:r>
          </w:p>
        </w:tc>
        <w:tc>
          <w:tcPr>
            <w:tcW w:w="21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271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转股价格章节</w:t>
            </w:r>
          </w:p>
        </w:tc>
      </w:tr>
      <w:tr w14:paraId="241D75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E242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下修生效日期effective_date</w:t>
            </w:r>
          </w:p>
        </w:tc>
        <w:tc>
          <w:tcPr>
            <w:tcW w:w="1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92C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B68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185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转股价正式执行变更日期</w:t>
            </w:r>
          </w:p>
        </w:tc>
        <w:tc>
          <w:tcPr>
            <w:tcW w:w="21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8A2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实施安排章节</w:t>
            </w:r>
          </w:p>
        </w:tc>
      </w:tr>
      <w:tr w14:paraId="30A1BA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B89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强赎触发条件redemption_trigger</w:t>
            </w:r>
          </w:p>
        </w:tc>
        <w:tc>
          <w:tcPr>
            <w:tcW w:w="1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3A7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612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FB1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提前强赎的价格天数触发规则</w:t>
            </w:r>
          </w:p>
        </w:tc>
        <w:tc>
          <w:tcPr>
            <w:tcW w:w="21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FBD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赎回条件章节</w:t>
            </w:r>
          </w:p>
        </w:tc>
      </w:tr>
      <w:tr w14:paraId="522A49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44E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单张赎回价格redemption_price</w:t>
            </w:r>
          </w:p>
        </w:tc>
        <w:tc>
          <w:tcPr>
            <w:tcW w:w="1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AAE8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浮点型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6B5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561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可转债每张含利息赎回定价</w:t>
            </w:r>
          </w:p>
        </w:tc>
        <w:tc>
          <w:tcPr>
            <w:tcW w:w="21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734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赎回方案章节</w:t>
            </w:r>
          </w:p>
        </w:tc>
      </w:tr>
      <w:tr w14:paraId="207AB3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69D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赎回登记日record_date</w:t>
            </w:r>
          </w:p>
        </w:tc>
        <w:tc>
          <w:tcPr>
            <w:tcW w:w="1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7878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A2C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D69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可转债股权赎回登记截止日期</w:t>
            </w:r>
          </w:p>
        </w:tc>
        <w:tc>
          <w:tcPr>
            <w:tcW w:w="21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2BE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实施时间安排</w:t>
            </w:r>
          </w:p>
        </w:tc>
      </w:tr>
      <w:tr w14:paraId="339DF9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85F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最后转股日last_convert_date</w:t>
            </w:r>
          </w:p>
        </w:tc>
        <w:tc>
          <w:tcPr>
            <w:tcW w:w="1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EB0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日期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D82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  <w:tc>
          <w:tcPr>
            <w:tcW w:w="2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450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投资者最后转股操作截止日</w:t>
            </w:r>
          </w:p>
        </w:tc>
        <w:tc>
          <w:tcPr>
            <w:tcW w:w="21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07B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风险提示章节</w:t>
            </w:r>
          </w:p>
        </w:tc>
      </w:tr>
      <w:tr w14:paraId="00798F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2EA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证据页码evidence_page</w:t>
            </w:r>
          </w:p>
        </w:tc>
        <w:tc>
          <w:tcPr>
            <w:tcW w:w="1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045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整型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741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83B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关键信息所在PDF页码，满足溯源要求</w:t>
            </w:r>
          </w:p>
        </w:tc>
        <w:tc>
          <w:tcPr>
            <w:tcW w:w="21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831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MinerU解析结果</w:t>
            </w:r>
          </w:p>
        </w:tc>
      </w:tr>
      <w:tr w14:paraId="6EAACA6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2E7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证据原文片段evidence_text</w:t>
            </w:r>
          </w:p>
        </w:tc>
        <w:tc>
          <w:tcPr>
            <w:tcW w:w="13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658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字符串</w:t>
            </w:r>
          </w:p>
        </w:tc>
        <w:tc>
          <w:tcPr>
            <w:tcW w:w="13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ED5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  <w:tc>
          <w:tcPr>
            <w:tcW w:w="222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A80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抽取内容对应的公告原文，防止大模型幻觉</w:t>
            </w:r>
          </w:p>
        </w:tc>
        <w:tc>
          <w:tcPr>
            <w:tcW w:w="21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F8D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MinerU解析原文</w:t>
            </w:r>
          </w:p>
        </w:tc>
      </w:tr>
    </w:tbl>
    <w:p w14:paraId="10C6D19F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最终输出形式</w:t>
      </w:r>
      <w:bookmarkEnd w:id="8"/>
    </w:p>
    <w:p w14:paraId="4444D95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标准化元数据文件：</w:t>
      </w:r>
      <w:r>
        <w:rPr>
          <w:rFonts w:ascii="Consolas" w:hAnsi="Consolas" w:eastAsia="Consolas" w:cs="Consolas"/>
          <w:sz w:val="22"/>
          <w:shd w:val="clear" w:fill="EFF0F1"/>
        </w:rPr>
        <w:t>metadata.csv</w:t>
      </w:r>
      <w:r>
        <w:rPr>
          <w:rFonts w:ascii="Arial" w:hAnsi="Arial" w:eastAsia="等线" w:cs="Arial"/>
          <w:sz w:val="22"/>
        </w:rPr>
        <w:t xml:space="preserve"> 公告信息台账</w:t>
      </w:r>
    </w:p>
    <w:p w14:paraId="0C1596BB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MinerU解析结果：PDF批量解析Markdown文本、章节定位检查报告</w:t>
      </w:r>
    </w:p>
    <w:p w14:paraId="4894F473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结构化数据：JSON/CSV格式的可转债下修、强赎抽取数据集</w:t>
      </w:r>
    </w:p>
    <w:p w14:paraId="19464752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事件成果：单转债完整事件时间线、50+组事件链匹配表</w:t>
      </w:r>
    </w:p>
    <w:p w14:paraId="6B11859F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量化成果：下修幅度、赎回溢价率等指标计算统计表</w:t>
      </w:r>
    </w:p>
    <w:p w14:paraId="7239F39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工程成果：可一键运行的端到端工作流、运行日志、人工评估报告</w:t>
      </w:r>
    </w:p>
    <w:p w14:paraId="28D5B0EB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难度档位</w:t>
      </w:r>
      <w:bookmarkEnd w:id="9"/>
    </w:p>
    <w:p w14:paraId="4BA279D3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1.1</w:t>
      </w:r>
    </w:p>
    <w:p w14:paraId="6EC7B196"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>理由：</w:t>
      </w:r>
    </w:p>
    <w:p w14:paraId="649CB117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>数据规模达标：收集</w:t>
      </w:r>
      <w:r>
        <w:rPr>
          <w:rFonts w:ascii="Arial" w:hAnsi="Arial" w:eastAsia="等线" w:cs="Arial"/>
          <w:b/>
          <w:sz w:val="22"/>
        </w:rPr>
        <w:t>150份以上巨潮PDF公告</w:t>
      </w:r>
      <w:r>
        <w:rPr>
          <w:rFonts w:ascii="Arial" w:hAnsi="Arial" w:eastAsia="等线" w:cs="Arial"/>
          <w:sz w:val="22"/>
        </w:rPr>
        <w:t>，构建</w:t>
      </w:r>
      <w:r>
        <w:rPr>
          <w:rFonts w:ascii="Arial" w:hAnsi="Arial" w:eastAsia="等线" w:cs="Arial"/>
          <w:b/>
          <w:sz w:val="22"/>
        </w:rPr>
        <w:t>50组以上完整下修/强赎事件链</w:t>
      </w:r>
      <w:r>
        <w:rPr>
          <w:rFonts w:ascii="Arial" w:hAnsi="Arial" w:eastAsia="等线" w:cs="Arial"/>
          <w:sz w:val="22"/>
        </w:rPr>
        <w:t>；</w:t>
      </w:r>
    </w:p>
    <w:p w14:paraId="17BAF734"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>多公告多类型联动：涵盖下修4类、强赎4类共8种公告类型，需跨公告匹配同转债同事件；</w:t>
      </w:r>
    </w:p>
    <w:p w14:paraId="0E929AD7"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>多时间线任务：需按公告节点构建触发→提议→决议→实施完整时间线；</w:t>
      </w:r>
    </w:p>
    <w:p w14:paraId="48E4299A"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>包含数值标准化与金融指标计算：统一价格、日期单位，自动计算转股价下修幅度、赎回溢价率；</w:t>
      </w:r>
    </w:p>
    <w:p w14:paraId="1DACCCB2"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>结构化字段超10个，包含文本、日期、浮点数值多类型，需设计规范Pydantic Schema；</w:t>
      </w:r>
    </w:p>
    <w:p w14:paraId="77A97635"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>任务复杂度高，具备多文档关联、事件闭环、量化分析特征，符合课程挑战档1.1难度标准。</w:t>
      </w:r>
    </w:p>
    <w:p w14:paraId="58B24F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288" w:lineRule="auto"/>
        <w:ind w:left="0"/>
        <w:jc w:val="both"/>
        <w:textAlignment w:val="auto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风险与备选方案</w:t>
      </w:r>
      <w:bookmarkEnd w:id="10"/>
    </w:p>
    <w:p w14:paraId="3238253C"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>风险：部分上市公司可转债公告缺失、部分公告表格排版复杂导致MinerU解析错乱</w:t>
      </w:r>
    </w:p>
    <w:p w14:paraId="4D85FA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>备选方案：筛选公告披露完整的转债样本，剔除残缺案例；对解析错乱公告人工复核校正章节内容。</w:t>
      </w:r>
    </w:p>
    <w:p w14:paraId="10C419DD"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>风险：LLM抽取数值易出现单位不统一、小数误差及幻觉编造问题</w:t>
      </w:r>
    </w:p>
    <w:p w14:paraId="127B14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>备选方案：通过Pydantic严格约束字段类型，Prompt强制要求无信息则返回null；增加数值标准化规则脚本统一单位与格式。</w:t>
      </w:r>
    </w:p>
    <w:p w14:paraId="355CC3B9"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>风险：同一只转债存在多次下修/强赎，跨公告匹配易混淆</w:t>
      </w:r>
    </w:p>
    <w:p w14:paraId="44BCE7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>备选方案：采用「转债代码+公告发布时间区间」双重规则匹配，区分不同周期事件，避免错乱匹配。</w:t>
      </w:r>
    </w:p>
    <w:p w14:paraId="4C6BB1A2"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>风险：少数公告标题命名不规范，爬虫筛选易混入无关公告</w:t>
      </w:r>
    </w:p>
    <w:p w14:paraId="54FCB9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both"/>
        <w:textAlignment w:val="auto"/>
      </w:pPr>
      <w:r>
        <w:rPr>
          <w:rFonts w:ascii="Arial" w:hAnsi="Arial" w:eastAsia="等线" w:cs="Arial"/>
          <w:sz w:val="22"/>
        </w:rPr>
        <w:t>备选方案：设置关键词白名单+黑名单双重过滤，后期人工抽样校验样本纯度。</w:t>
      </w:r>
    </w:p>
    <w:p w14:paraId="4D5320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288" w:lineRule="auto"/>
        <w:ind w:left="0"/>
        <w:jc w:val="both"/>
        <w:textAlignment w:val="auto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1AE5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981AC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9C8AC8EF"/>
    <w:multiLevelType w:val="singleLevel"/>
    <w:tmpl w:val="9C8AC8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B0F1ACD9"/>
    <w:multiLevelType w:val="singleLevel"/>
    <w:tmpl w:val="B0F1ACD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">
    <w:nsid w:val="C8879AEF"/>
    <w:multiLevelType w:val="singleLevel"/>
    <w:tmpl w:val="C8879AE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">
    <w:nsid w:val="D7F9FE59"/>
    <w:multiLevelType w:val="singleLevel"/>
    <w:tmpl w:val="D7F9FE5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DCBA6B53"/>
    <w:multiLevelType w:val="singleLevel"/>
    <w:tmpl w:val="DCBA6B5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9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0248C179"/>
    <w:multiLevelType w:val="singleLevel"/>
    <w:tmpl w:val="0248C1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0E640482"/>
    <w:multiLevelType w:val="singleLevel"/>
    <w:tmpl w:val="0E640482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4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6">
    <w:nsid w:val="2A8F537B"/>
    <w:multiLevelType w:val="singleLevel"/>
    <w:tmpl w:val="2A8F537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46A08BB8"/>
    <w:multiLevelType w:val="singleLevel"/>
    <w:tmpl w:val="46A08BB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4C1BAE26"/>
    <w:multiLevelType w:val="singleLevel"/>
    <w:tmpl w:val="4C1BAE2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9">
    <w:nsid w:val="4D4DC07F"/>
    <w:multiLevelType w:val="singleLevel"/>
    <w:tmpl w:val="4D4DC07F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0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1">
    <w:nsid w:val="5A241D34"/>
    <w:multiLevelType w:val="singleLevel"/>
    <w:tmpl w:val="5A241D3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">
    <w:nsid w:val="60382F6E"/>
    <w:multiLevelType w:val="singleLevel"/>
    <w:tmpl w:val="60382F6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3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4">
    <w:nsid w:val="77ECEA79"/>
    <w:multiLevelType w:val="singleLevel"/>
    <w:tmpl w:val="77ECEA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7C246926"/>
    <w:multiLevelType w:val="singleLevel"/>
    <w:tmpl w:val="7C246926"/>
    <w:lvl w:ilvl="0" w:tentative="0">
      <w:start w:val="3"/>
      <w:numFmt w:val="decimal"/>
      <w:lvlText w:val="%1."/>
      <w:lvlJc w:val="left"/>
      <w:rPr>
        <w:color w:val="3370FF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  <w:num w:numId="25">
    <w:abstractNumId w:val="25"/>
  </w:num>
  <w:num w:numId="2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0A6E4C"/>
    <w:rsid w:val="13405DEA"/>
    <w:rsid w:val="4B0A0A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1785</Words>
  <Characters>2362</Characters>
  <TotalTime>8</TotalTime>
  <ScaleCrop>false</ScaleCrop>
  <LinksUpToDate>false</LinksUpToDate>
  <CharactersWithSpaces>2368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2026-05-14T02:47:00Z</dcterms:created>
  <dc:creator>Apache POI</dc:creator>
  <cp:lastModifiedBy>terry</cp:lastModifiedBy>
  <dcterms:modified xsi:type="dcterms:W3CDTF">2026-05-14T02:57:06Z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eyJoZGlkIjoiOTI2NzRkMmZhZmU0YmYwOGVhYjFiYzI1NGVhYzcyMTEiLCJ1c2VySWQiOiIxMDY5OTQ4MDk1In0=</vt:lpwstr>
  </property>
  <property fmtid="{D5CDD505-2E9C-101B-9397-08002B2CF9AE}" pid="3" name="KSOProductBuildVer">
    <vt:lpwstr>2052-12.1.0.26375</vt:lpwstr>
  </property>
  <property fmtid="{D5CDD505-2E9C-101B-9397-08002B2CF9AE}" pid="4" name="ICV">
    <vt:lpwstr>E3C616E185BF454EBA443DA15F73E27C_13</vt:lpwstr>
  </property>
</Properties>
</file>