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D6960">
      <w:pPr>
        <w:spacing w:before="160" w:after="40"/>
      </w:pPr>
      <w:bookmarkStart w:id="0" w:name="_GoBack"/>
      <w:bookmarkEnd w:id="0"/>
      <w:r>
        <w:rPr>
          <w:rFonts w:ascii="Calibri" w:hAnsi="Calibri" w:eastAsia="微软雅黑"/>
          <w:b/>
          <w:color w:val="2E74B5"/>
          <w:sz w:val="20"/>
        </w:rPr>
        <w:t>核心需求核对清单</w:t>
      </w:r>
    </w:p>
    <w:p w14:paraId="393CC57D">
      <w:pPr>
        <w:spacing w:before="0" w:after="100"/>
      </w:pPr>
      <w:r>
        <w:rPr>
          <w:rFonts w:ascii="Calibri" w:hAnsi="Calibri" w:eastAsia="微软雅黑"/>
          <w:b/>
          <w:color w:val="0B2545"/>
          <w:sz w:val="50"/>
        </w:rPr>
        <w:t>Agent数据平台建设</w:t>
      </w:r>
    </w:p>
    <w:p w14:paraId="5470F70F">
      <w:pPr>
        <w:spacing w:before="0" w:after="280"/>
      </w:pPr>
      <w:r>
        <w:rPr>
          <w:rFonts w:ascii="Calibri" w:hAnsi="Calibri" w:eastAsia="微软雅黑"/>
          <w:color w:val="667085"/>
          <w:sz w:val="26"/>
        </w:rPr>
        <w:t>领导讨论版｜含建议答案草案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0AFBE309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C0C51">
            <w:pPr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用途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F3E7">
            <w:r>
              <w:rPr>
                <w:rFonts w:ascii="Calibri" w:hAnsi="Calibri" w:eastAsia="微软雅黑"/>
                <w:color w:val="0B2545"/>
                <w:sz w:val="19"/>
              </w:rPr>
              <w:t>第一轮确认平台方向、MVP边界、Agent自治和技术底座原则</w:t>
            </w:r>
          </w:p>
        </w:tc>
      </w:tr>
      <w:tr w14:paraId="41F2A10E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3617">
            <w:pPr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范围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3541">
            <w:r>
              <w:rPr>
                <w:rFonts w:ascii="Calibri" w:hAnsi="Calibri" w:eastAsia="微软雅黑"/>
                <w:color w:val="0B2545"/>
                <w:sz w:val="19"/>
              </w:rPr>
              <w:t>12个必须优先拍板的架构输入级问题</w:t>
            </w:r>
          </w:p>
        </w:tc>
      </w:tr>
      <w:tr w14:paraId="077D9F81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9478">
            <w:pPr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状态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5D75">
            <w:r>
              <w:rPr>
                <w:rFonts w:ascii="Calibri" w:hAnsi="Calibri" w:eastAsia="微软雅黑"/>
                <w:color w:val="0B2545"/>
                <w:sz w:val="19"/>
              </w:rPr>
              <w:t>建议答案为基于现有材料的推断，待领导核对</w:t>
            </w:r>
          </w:p>
        </w:tc>
      </w:tr>
      <w:tr w14:paraId="017611DA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465D">
            <w:pPr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日期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F0C0">
            <w:r>
              <w:rPr>
                <w:rFonts w:ascii="Calibri" w:hAnsi="Calibri" w:eastAsia="微软雅黑"/>
                <w:color w:val="0B2545"/>
                <w:sz w:val="19"/>
              </w:rPr>
              <w:t>2026年8月3日</w:t>
            </w:r>
          </w:p>
        </w:tc>
      </w:tr>
    </w:tbl>
    <w:p w14:paraId="159776CF"/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539FF8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8028">
            <w:pPr>
              <w:spacing w:after="0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使用说明：</w:t>
            </w:r>
            <w:r>
              <w:rPr>
                <w:rFonts w:ascii="Calibri" w:hAnsi="Calibri" w:eastAsia="微软雅黑"/>
                <w:color w:val="0B2545"/>
                <w:sz w:val="21"/>
              </w:rPr>
              <w:t xml:space="preserve"> 每题先选择方向，再核对“我的初步判断”。如不完全认可，请在调整说明中记录边界、优先级或前置条件。</w:t>
            </w:r>
          </w:p>
        </w:tc>
      </w:tr>
    </w:tbl>
    <w:p w14:paraId="21BEE562">
      <w:pPr>
        <w:pStyle w:val="3"/>
      </w:pPr>
      <w:r>
        <w:t>建议优先形成的总体结论</w:t>
      </w:r>
    </w:p>
    <w:p w14:paraId="6228091C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平台定位：面向多模态AI数据生产的Agent数据平台。</w:t>
      </w:r>
    </w:p>
    <w:p w14:paraId="41699DD0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建设方式：保留Camera DMP有价值的业务能力，新旧并行、渐进迁移。</w:t>
      </w:r>
    </w:p>
    <w:p w14:paraId="0018DA1E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首期范围：以图片场景跑通数据版本、算子、质量、人审和模型反馈的最小闭环。</w:t>
      </w:r>
    </w:p>
    <w:p w14:paraId="0E2D26EE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Agent边界：Agent负责理解、规划和试跑；确定性引擎负责执行；高风险操作必须审批。</w:t>
      </w:r>
    </w:p>
    <w:p w14:paraId="59382A46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技术策略：先复用现有底座，按真实规模通过POC决定Lance、Daft和Ray的引入深度。</w:t>
      </w:r>
    </w:p>
    <w:p w14:paraId="18BF38B4">
      <w:r>
        <w:br w:type="page"/>
      </w:r>
    </w:p>
    <w:p w14:paraId="7A2F0ADD">
      <w:pPr>
        <w:pStyle w:val="3"/>
      </w:pPr>
      <w:r>
        <w:t>一、平台方向与价值</w:t>
      </w:r>
    </w:p>
    <w:p w14:paraId="19ABC800">
      <w:pPr>
        <w:pStyle w:val="4"/>
        <w:keepNext/>
      </w:pPr>
      <w:r>
        <w:t>1. 新平台的第一定位是什么？</w:t>
      </w:r>
    </w:p>
    <w:p w14:paraId="081E6B81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需要先确定平台最核心的价值中心，避免同时建设数据湖、Agent、模型平台和完整治理体系。</w:t>
      </w:r>
    </w:p>
    <w:p w14:paraId="134F13C2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705A5E8A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多模态数据资产管理平台</w:t>
      </w:r>
    </w:p>
    <w:p w14:paraId="7D0E83DB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AI数据加工与生产平台</w:t>
      </w:r>
    </w:p>
    <w:p w14:paraId="05CF28AF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Agent驱动的数据工程平台</w:t>
      </w:r>
    </w:p>
    <w:p w14:paraId="78381BAE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模型反馈驱动的数据闭环平台</w:t>
      </w:r>
    </w:p>
    <w:p w14:paraId="5B6E8BAD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AFD8BF7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DBF4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希望新平台的第一定位是“面向多模态AI数据生产的Agent数据平台”。它既不是单纯的数据湖，也不是一个Agent聊天工具：底层要先把数据、版本、算子、任务和质量做成稳定资源，上层再由Agent降低数据工程的使用门槛。模型反馈驱动的自适应闭环是长期差异化方向，但不要求第一阶段一次做完。</w:t>
            </w:r>
          </w:p>
        </w:tc>
      </w:tr>
    </w:tbl>
    <w:p w14:paraId="1C6EED6C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07100358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0FEB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5F75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214CEFC5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C332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9769">
            <w:pPr>
              <w:spacing w:before="20" w:after="160"/>
            </w:pPr>
            <w:r>
              <w:t xml:space="preserve"> </w:t>
            </w:r>
          </w:p>
        </w:tc>
      </w:tr>
    </w:tbl>
    <w:p w14:paraId="0490E313">
      <w:pPr>
        <w:spacing w:after="40"/>
      </w:pPr>
    </w:p>
    <w:p w14:paraId="7070BE8F">
      <w:pPr>
        <w:pStyle w:val="4"/>
        <w:keepNext/>
      </w:pPr>
      <w:r>
        <w:t>2. 新平台与现有Camera DMP是什么关系？</w:t>
      </w:r>
    </w:p>
    <w:p w14:paraId="6BF23594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决定项目是重构、扩建还是替换，也决定迁移风险和首期投入。</w:t>
      </w:r>
    </w:p>
    <w:p w14:paraId="467A11CC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18D6AD4F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完全替代Camera DMP</w:t>
      </w:r>
    </w:p>
    <w:p w14:paraId="4F575770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保留Camera DMP业务能力，重构底层架构</w:t>
      </w:r>
    </w:p>
    <w:p w14:paraId="5C8D9D2B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Camera DMP继续运行，新建Agent控制面</w:t>
      </w:r>
    </w:p>
    <w:p w14:paraId="67EDCE46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新旧平台并行建设，按能力逐步迁移</w:t>
      </w:r>
    </w:p>
    <w:p w14:paraId="64A8F06F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1659366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71C23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我不倾向于推倒重来。Camera DMP现有的多租户、标注质检、审批、在线检索、GPU作业和数据交付能力仍然有价值。我的设想是先重构数据事实层、版本血缘、计算抽象和Agent控制面，让新旧平台并行运行，再按场景逐步迁移，尽量降低一次性替换带来的业务风险。</w:t>
            </w:r>
          </w:p>
        </w:tc>
      </w:tr>
    </w:tbl>
    <w:p w14:paraId="5A32E9E2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167A545A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1A7D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CCB35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499F612D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1C8E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1542">
            <w:pPr>
              <w:spacing w:before="20" w:after="160"/>
            </w:pPr>
            <w:r>
              <w:t xml:space="preserve"> </w:t>
            </w:r>
          </w:p>
        </w:tc>
      </w:tr>
    </w:tbl>
    <w:p w14:paraId="0E13BC2A">
      <w:pPr>
        <w:spacing w:after="40"/>
      </w:pPr>
    </w:p>
    <w:p w14:paraId="193327F5">
      <w:pPr>
        <w:pStyle w:val="4"/>
        <w:keepNext/>
      </w:pPr>
      <w:r>
        <w:t>3. 平台首先要解决哪三个问题，如何判断成功？</w:t>
      </w:r>
    </w:p>
    <w:p w14:paraId="54D8E364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核心问题和成功指标必须一一对应，否则平台容易只完成技术组件建设。</w:t>
      </w:r>
    </w:p>
    <w:p w14:paraId="74103EA3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288BC595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跨存储状态不一致，版本和训练结果难以复现</w:t>
      </w:r>
    </w:p>
    <w:p w14:paraId="0F85820E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Pipeline依赖人工编排，数据生产周期长</w:t>
      </w:r>
    </w:p>
    <w:p w14:paraId="1E9BDAD2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质量标准分散，缺少样本级和批次级证据</w:t>
      </w:r>
    </w:p>
    <w:p w14:paraId="10195CBA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模型反馈不能转化为下一轮数据处理动作</w:t>
      </w:r>
    </w:p>
    <w:p w14:paraId="7C8AD0FD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数据难查找、难理解、难复用</w:t>
      </w:r>
    </w:p>
    <w:p w14:paraId="5C1B34B8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719092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8C46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当前最希望优先解决三个问题：第一，建立可信的数据版本和血缘，减少跨存储不一致；第二，降低Pipeline配置和重复开发的人工成本；第三，把模型失败和质量问题转化为可执行的数据动作。成功指标应至少覆盖处理周期、人工介入次数、版本复现率、任务成功率和目标模型切片收益；具体阈值在选定真实场景并测出当前基线后确定。</w:t>
            </w:r>
          </w:p>
        </w:tc>
      </w:tr>
    </w:tbl>
    <w:p w14:paraId="087C4454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56E37437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2108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18D1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2FA27A67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358D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E9E3">
            <w:pPr>
              <w:spacing w:before="20" w:after="160"/>
            </w:pPr>
            <w:r>
              <w:t xml:space="preserve"> </w:t>
            </w:r>
          </w:p>
        </w:tc>
      </w:tr>
    </w:tbl>
    <w:p w14:paraId="1B37AEA2">
      <w:pPr>
        <w:spacing w:after="40"/>
      </w:pPr>
    </w:p>
    <w:p w14:paraId="3F6AC87C">
      <w:pPr>
        <w:pStyle w:val="3"/>
      </w:pPr>
      <w:r>
        <w:t>二、首期业务与MVP边界</w:t>
      </w:r>
    </w:p>
    <w:p w14:paraId="014631B5">
      <w:pPr>
        <w:pStyle w:val="4"/>
        <w:keepNext/>
      </w:pPr>
      <w:r>
        <w:t>4. 第一阶段服务谁，选择什么数据和业务场景？</w:t>
      </w:r>
    </w:p>
    <w:p w14:paraId="4A827D5F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首期必须有明确用户、数据和验收任务，不能以通用平台能力作为唯一验收对象。</w:t>
      </w:r>
    </w:p>
    <w:p w14:paraId="15847C6C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545CDD4A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图片训练集清洗、质检与增强</w:t>
      </w:r>
    </w:p>
    <w:p w14:paraId="76B3D50D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短视频切分、理解、筛选与质量评估</w:t>
      </w:r>
    </w:p>
    <w:p w14:paraId="3E444016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推理日志回流、失败样本筛选与重标</w:t>
      </w:r>
    </w:p>
    <w:p w14:paraId="3CB38B05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图文多模态数据构建</w:t>
      </w:r>
    </w:p>
    <w:p w14:paraId="3A4177EE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面向所有模态的通用数据生产平台</w:t>
      </w:r>
    </w:p>
    <w:p w14:paraId="5B6F813F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6879F71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F5B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倾向于第一阶段先服务视觉算法和数据工程人员，选择一个图片训练集的清洗、质量评估、困难样本筛选和版本交付场景。图片场景的边界更清晰、试跑成本更低，也便于验证sample_id、质量证据、版本和模型反馈链路。短视频可以作为第二个扩展场景。</w:t>
            </w:r>
          </w:p>
        </w:tc>
      </w:tr>
    </w:tbl>
    <w:p w14:paraId="54D30A53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67030539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93358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E314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5722C09C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5FDC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2B7B">
            <w:pPr>
              <w:spacing w:before="20" w:after="160"/>
            </w:pPr>
            <w:r>
              <w:t xml:space="preserve"> </w:t>
            </w:r>
          </w:p>
        </w:tc>
      </w:tr>
    </w:tbl>
    <w:p w14:paraId="3D6B2934">
      <w:pPr>
        <w:spacing w:after="40"/>
      </w:pPr>
    </w:p>
    <w:p w14:paraId="08C95BF4">
      <w:pPr>
        <w:pStyle w:val="4"/>
        <w:keepNext/>
      </w:pPr>
      <w:r>
        <w:t>5. MVP必须跑通哪些环节，明确不做什么？</w:t>
      </w:r>
    </w:p>
    <w:p w14:paraId="466B3CAD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需要把MVP定义成一条真实纵向闭环，而不是若干彼此独立的模块。</w:t>
      </w:r>
    </w:p>
    <w:p w14:paraId="1FFC15BA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23E85232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只完成数据接入、管理和查询</w:t>
      </w:r>
    </w:p>
    <w:p w14:paraId="0CD19388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完成数据版本、算子加工、质量检查和发布</w:t>
      </w:r>
    </w:p>
    <w:p w14:paraId="345BF239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进一步接入训练/评测和模型反馈</w:t>
      </w:r>
    </w:p>
    <w:p w14:paraId="5FE1ACC0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首期同时建设全模态、在线服务、算子市场和自治Agent</w:t>
      </w:r>
    </w:p>
    <w:p w14:paraId="4969C481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F6F7C4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DFA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我希望MVP至少跑通“对象存储接入 → Dataset Version → 算子处理 → 质量证据与人工确认 → 新版本发布 → 训练/评测反馈”的链路。首期不追求全模态通用化，不建设大而全的算子广场，不把在线Serving作为主线，也不要求Agent无人值守地执行生产任务。</w:t>
            </w:r>
          </w:p>
        </w:tc>
      </w:tr>
    </w:tbl>
    <w:p w14:paraId="7BE3C571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3E2206B1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2418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E87C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626DBF3D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F1F6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6D83">
            <w:pPr>
              <w:spacing w:before="20" w:after="160"/>
            </w:pPr>
            <w:r>
              <w:t xml:space="preserve"> </w:t>
            </w:r>
          </w:p>
        </w:tc>
      </w:tr>
    </w:tbl>
    <w:p w14:paraId="168323B4">
      <w:pPr>
        <w:spacing w:after="40"/>
      </w:pPr>
    </w:p>
    <w:p w14:paraId="1279F0B6">
      <w:pPr>
        <w:pStyle w:val="3"/>
      </w:pPr>
      <w:r>
        <w:t>三、核心数据与Agent原则</w:t>
      </w:r>
    </w:p>
    <w:p w14:paraId="443FE9AC">
      <w:pPr>
        <w:pStyle w:val="4"/>
        <w:keepNext/>
      </w:pPr>
      <w:r>
        <w:t>6. 数据资产和版本采用什么基本原则？</w:t>
      </w:r>
    </w:p>
    <w:p w14:paraId="7971FA1C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这是存储、血缘、质量、训练复现和Agent工具设计的共同基础。</w:t>
      </w:r>
    </w:p>
    <w:p w14:paraId="05EA7AFB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621A78D2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延续BigDataset → Dataset → DatasetVersion模型</w:t>
      </w:r>
    </w:p>
    <w:p w14:paraId="6A30CF4C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采用Raw → Dataset → Data Collection分层</w:t>
      </w:r>
    </w:p>
    <w:p w14:paraId="6D40F6F5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正式版本不可变，修改产生新版本</w:t>
      </w:r>
    </w:p>
    <w:p w14:paraId="4BC374F0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允许正式版本原地更新，以降低存储和操作复杂度</w:t>
      </w:r>
    </w:p>
    <w:p w14:paraId="5C414CDD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训练和评测必须固定具体版本UUID</w:t>
      </w:r>
    </w:p>
    <w:p w14:paraId="5405BFAF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7A37F6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B021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我倾向于吸收Raw、Dataset和Data Collection的分层思路，同时兼容现有BigDataset业务概念。正式版本应不可变，修改通过新版本表达；训练、评测和交付必须绑定具体版本UUID。平台从第一阶段就要统一sample_id、content_hash、dataset_version和request_id，保证样本、任务、反馈和模型结果能够互相追溯。</w:t>
            </w:r>
          </w:p>
        </w:tc>
      </w:tr>
    </w:tbl>
    <w:p w14:paraId="69B35315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08904232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897F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E34F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0FD0372C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3BA0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FEB5">
            <w:pPr>
              <w:spacing w:before="20" w:after="160"/>
            </w:pPr>
            <w:r>
              <w:t xml:space="preserve"> </w:t>
            </w:r>
          </w:p>
        </w:tc>
      </w:tr>
    </w:tbl>
    <w:p w14:paraId="6A3B15C3">
      <w:pPr>
        <w:spacing w:after="40"/>
      </w:pPr>
    </w:p>
    <w:p w14:paraId="124BFC1A">
      <w:pPr>
        <w:pStyle w:val="4"/>
        <w:keepNext/>
      </w:pPr>
      <w:r>
        <w:t>7. 是否把模型反馈驱动的数据闭环作为核心差异化？</w:t>
      </w:r>
    </w:p>
    <w:p w14:paraId="4FD9D172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如果答案是否定的，第一阶段就不应投入复杂的GapSpec、经验库和自适应规划。</w:t>
      </w:r>
    </w:p>
    <w:p w14:paraId="53068D76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220F70F5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不是核心目标，平台只负责数据管理和执行</w:t>
      </w:r>
    </w:p>
    <w:p w14:paraId="4F775E55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作为长期方向，MVP先打通最小反馈链路</w:t>
      </w:r>
    </w:p>
    <w:p w14:paraId="442A67D7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作为首期核心，直接建设完整自适应闭环</w:t>
      </w:r>
    </w:p>
    <w:p w14:paraId="34DF4528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先验证业务是否能提供真实、样本级的训练评测反馈</w:t>
      </w:r>
    </w:p>
    <w:p w14:paraId="08ED863C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1A49F3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1C09E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认为这应该成为平台的长期差异化，但首期要控制范围。MVP先让ModelFeedback能够机器读取并追溯到数据版本和失败样本，再形成一个最小GapSpec，支持补数、重标、清洗或重采样中的少数动作。所有建议先小样本试跑，并通过QC和对照评测证明有效，再逐步建设经验学习和自适应规划。</w:t>
            </w:r>
          </w:p>
        </w:tc>
      </w:tr>
    </w:tbl>
    <w:p w14:paraId="69D0D7DF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D49ED52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BA95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2A0F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16F1F1A6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DF80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294E">
            <w:pPr>
              <w:spacing w:before="20" w:after="160"/>
            </w:pPr>
            <w:r>
              <w:t xml:space="preserve"> </w:t>
            </w:r>
          </w:p>
        </w:tc>
      </w:tr>
    </w:tbl>
    <w:p w14:paraId="16187BED">
      <w:pPr>
        <w:spacing w:after="40"/>
      </w:pPr>
    </w:p>
    <w:p w14:paraId="72D7C0F1">
      <w:pPr>
        <w:pStyle w:val="4"/>
        <w:keepNext/>
      </w:pPr>
      <w:r>
        <w:t>8. Agent可以自主做到哪一步？</w:t>
      </w:r>
    </w:p>
    <w:p w14:paraId="480F7480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需要在使用效率、执行确定性、成本和数据安全之间划出明确边界。</w:t>
      </w:r>
    </w:p>
    <w:p w14:paraId="50D1537A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5B825DC6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只做知识问答和结果解释</w:t>
      </w:r>
    </w:p>
    <w:p w14:paraId="22A6F579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探查数据并生成候选Pipeline</w:t>
      </w:r>
    </w:p>
    <w:p w14:paraId="4E8E8C22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创建任务草稿并自动进行小样本试跑</w:t>
      </w:r>
    </w:p>
    <w:p w14:paraId="0973495D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自动执行可回滚的生产任务</w:t>
      </w:r>
    </w:p>
    <w:p w14:paraId="7F173574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自主发布、删除、导出或运行高成本任务</w:t>
      </w:r>
    </w:p>
    <w:p w14:paraId="63462F34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A53FE6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7EA6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希望Agent可以探查数据、检索算子和历史经验、生成候选Pipeline、创建任务草稿，并自动完成受限的小样本试跑。正式生产执行、数据版本发布、高成本GPU任务、删除、导出和跨租户共享必须经过人工确认。LLM负责理解和提出方案，确定性Engine负责执行，两者不能混在一起。</w:t>
            </w:r>
          </w:p>
        </w:tc>
      </w:tr>
    </w:tbl>
    <w:p w14:paraId="4848D970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2D20F32D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5527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684D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7F460694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20A7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6781">
            <w:pPr>
              <w:spacing w:before="20" w:after="160"/>
            </w:pPr>
            <w:r>
              <w:t xml:space="preserve"> </w:t>
            </w:r>
          </w:p>
        </w:tc>
      </w:tr>
    </w:tbl>
    <w:p w14:paraId="5DCD344A">
      <w:pPr>
        <w:spacing w:after="40"/>
      </w:pPr>
    </w:p>
    <w:p w14:paraId="655F5D94">
      <w:pPr>
        <w:pStyle w:val="3"/>
      </w:pPr>
      <w:r>
        <w:t>四、技术底座与系统边界</w:t>
      </w:r>
    </w:p>
    <w:p w14:paraId="0BC65FC6">
      <w:pPr>
        <w:pStyle w:val="4"/>
        <w:keepNext/>
      </w:pPr>
      <w:r>
        <w:t>9. 首期计算与任务底座如何选择？</w:t>
      </w:r>
    </w:p>
    <w:p w14:paraId="38E4BA82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需要避免为了对标LAS而过早引入超出当前规模的分布式复杂度。</w:t>
      </w:r>
    </w:p>
    <w:p w14:paraId="2CBA4977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7335994D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继续使用Python/Celery和现有GPU平台完成MVP</w:t>
      </w:r>
    </w:p>
    <w:p w14:paraId="12131597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首期直接全面采用Daft + Ray + Kubernetes</w:t>
      </w:r>
    </w:p>
    <w:p w14:paraId="320E60F0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本地/轻量执行与分布式Runner并存</w:t>
      </w:r>
    </w:p>
    <w:p w14:paraId="6852B6FC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以数据规模和CPU/GPU混合负载的POC结果决定</w:t>
      </w:r>
    </w:p>
    <w:p w14:paraId="6E3AF090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06177A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AA1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倾向于先复用现有Python、Celery、Kubernetes和GPU平台能力，尽快跑通纵向闭环；同时把Pipe、Pipeline、Job和Runner接口设计好，避免未来被当前实现锁死。当数据量、CPU/GPU混合调度或模型常驻需求达到明确门槛后，再通过POC引入Daft和Ray，而不是第一阶段先建设一套重型分布式底座。</w:t>
            </w:r>
          </w:p>
        </w:tc>
      </w:tr>
    </w:tbl>
    <w:p w14:paraId="70F79C7E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29DABA52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82AB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A268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2022634F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38F6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EB44">
            <w:pPr>
              <w:spacing w:before="20" w:after="160"/>
            </w:pPr>
            <w:r>
              <w:t xml:space="preserve"> </w:t>
            </w:r>
          </w:p>
        </w:tc>
      </w:tr>
    </w:tbl>
    <w:p w14:paraId="5F37190C">
      <w:pPr>
        <w:spacing w:after="40"/>
      </w:pPr>
    </w:p>
    <w:p w14:paraId="0CEDE006">
      <w:pPr>
        <w:pStyle w:val="4"/>
        <w:keepNext/>
      </w:pPr>
      <w:r>
        <w:t>10. 对象存储、Lance、PostgreSQL、ClickHouse和Milvus如何分工？</w:t>
      </w:r>
    </w:p>
    <w:p w14:paraId="0F6416B2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先明确唯一事实来源和职责边界，再决定是否替换现有组件。</w:t>
      </w:r>
    </w:p>
    <w:p w14:paraId="1E390D15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70A8A3AA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延续现有PostgreSQL + ClickHouse + 对象存储 + Milvus</w:t>
      </w:r>
    </w:p>
    <w:p w14:paraId="22FFF918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引入Lance作为多模态数据事实层和版本载体</w:t>
      </w:r>
    </w:p>
    <w:p w14:paraId="470208D8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由Lance同时替代ClickHouse和Milvus的全部职责</w:t>
      </w:r>
    </w:p>
    <w:p w14:paraId="204FF988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保留查询/向量服务层，通过POC决定逐步收敛范围</w:t>
      </w:r>
    </w:p>
    <w:p w14:paraId="038EA1FD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EFFCA4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DE4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的初步设想是：对象存储保存原始媒体和湖表文件，PostgreSQL保存控制面元数据，Lance作为结构化多模态数据、版本和训练读取的候选事实层；ClickHouse继续承担高性能元数据筛选、聚合和在线查询，Milvus在首期继续承担已有向量检索。是否减少ClickHouse或Milvus职责，要在真实数据上比较时延、成本和一致性代价后决定。</w:t>
            </w:r>
          </w:p>
        </w:tc>
      </w:tr>
    </w:tbl>
    <w:p w14:paraId="5C442293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5C2F896C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511E4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0D75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0B8735FF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57A5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6405">
            <w:pPr>
              <w:spacing w:before="20" w:after="160"/>
            </w:pPr>
            <w:r>
              <w:t xml:space="preserve"> </w:t>
            </w:r>
          </w:p>
        </w:tc>
      </w:tr>
    </w:tbl>
    <w:p w14:paraId="7954809E">
      <w:pPr>
        <w:spacing w:after="40"/>
      </w:pPr>
    </w:p>
    <w:p w14:paraId="43FA5904">
      <w:pPr>
        <w:pStyle w:val="3"/>
      </w:pPr>
      <w:r>
        <w:t>五、治理约束与实施路径</w:t>
      </w:r>
    </w:p>
    <w:p w14:paraId="4A977EED">
      <w:pPr>
        <w:pStyle w:val="4"/>
        <w:keepNext/>
      </w:pPr>
      <w:r>
        <w:t>11. 部署、安全、多租户和外部模型的边界是什么？</w:t>
      </w:r>
    </w:p>
    <w:p w14:paraId="4C339062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这些约束会直接影响Agent工具、数据访问、模型调用和技术选型。</w:t>
      </w:r>
    </w:p>
    <w:p w14:paraId="40FD831B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0EE59D41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公司内网或企业云部署，数据原则上不出域</w:t>
      </w:r>
    </w:p>
    <w:p w14:paraId="006D84F8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允许受控使用外部大模型/API</w:t>
      </w:r>
    </w:p>
    <w:p w14:paraId="382BA8D5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继续以App作为多租户根</w:t>
      </w:r>
    </w:p>
    <w:p w14:paraId="59A966B9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调整为组织/项目/资源/ACL模型</w:t>
      </w:r>
    </w:p>
    <w:p w14:paraId="12C7AA3D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所有用户、Agent和系统操作统一审计</w:t>
      </w:r>
    </w:p>
    <w:p w14:paraId="4B1F3A59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359FE67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2A36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倾向于按内部企业平台设计，敏感原始数据原则上不离开公司受控环境。外部大模型和API只能通过服务器端代理、脱敏和授权使用，Agent不能直接接触底层凭证。多租户可以兼容现有App概念，但需要进一步拆清组织、项目和资源ACL；数据发布、删除、导出、共享及高成本任务必须审批并完整审计。</w:t>
            </w:r>
          </w:p>
        </w:tc>
      </w:tr>
    </w:tbl>
    <w:p w14:paraId="60E10AA9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68A4605E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425C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1B11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149AB989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18B2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473F">
            <w:pPr>
              <w:spacing w:before="20" w:after="160"/>
            </w:pPr>
            <w:r>
              <w:t xml:space="preserve"> </w:t>
            </w:r>
          </w:p>
        </w:tc>
      </w:tr>
    </w:tbl>
    <w:p w14:paraId="18ADDF19">
      <w:pPr>
        <w:spacing w:after="40"/>
      </w:pPr>
    </w:p>
    <w:p w14:paraId="66ABB12A">
      <w:pPr>
        <w:pStyle w:val="4"/>
        <w:keepNext/>
      </w:pPr>
      <w:r>
        <w:t>12. 项目采用什么建设节奏和自研边界？</w:t>
      </w:r>
    </w:p>
    <w:p w14:paraId="709E78D6">
      <w:pPr>
        <w:spacing w:after="100" w:line="276" w:lineRule="auto"/>
      </w:pPr>
      <w:r>
        <w:rPr>
          <w:rFonts w:ascii="Calibri" w:hAnsi="Calibri" w:eastAsia="微软雅黑"/>
          <w:b/>
          <w:color w:val="667085"/>
          <w:sz w:val="20"/>
        </w:rPr>
        <w:t>为什么要确认：</w:t>
      </w:r>
      <w:r>
        <w:rPr>
          <w:rFonts w:ascii="Calibri" w:hAnsi="Calibri" w:eastAsia="微软雅黑"/>
          <w:color w:val="667085"/>
          <w:sz w:val="20"/>
        </w:rPr>
        <w:t>决定团队是否能够在可控投入内交付真实业务价值，并及时调整方向。</w:t>
      </w:r>
    </w:p>
    <w:p w14:paraId="19306F44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可选方向</w:t>
      </w:r>
    </w:p>
    <w:p w14:paraId="7624AE09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一次性完成完整平台后再上线</w:t>
      </w:r>
    </w:p>
    <w:p w14:paraId="4C3FD88B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以一个真实场景为纵向MVP，分阶段扩展</w:t>
      </w:r>
    </w:p>
    <w:p w14:paraId="03E5647E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核心资源模型和权限自研，底层组件优先复用</w:t>
      </w:r>
    </w:p>
    <w:p w14:paraId="6B0738DB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尽量采购云服务，减少平台自研</w:t>
      </w:r>
    </w:p>
    <w:p w14:paraId="246CBB47">
      <w:pPr>
        <w:pStyle w:val="164"/>
        <w:keepLines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微软雅黑"/>
          <w:color w:val="0B2545"/>
          <w:sz w:val="21"/>
        </w:rPr>
        <w:t>每阶段设置继续、调整或停止的验收Gate</w:t>
      </w:r>
    </w:p>
    <w:p w14:paraId="407E5C0E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我的初步判断（待领导确认）</w:t>
      </w:r>
    </w:p>
    <w:tbl>
      <w:tblPr>
        <w:tblStyle w:val="32"/>
        <w:tblW w:w="9360" w:type="dxa"/>
        <w:tblInd w:w="120" w:type="dxa"/>
        <w:tblBorders>
          <w:top w:val="single" w:color="AFC4D8" w:sz="6" w:space="0"/>
          <w:left w:val="single" w:color="AFC4D8" w:sz="6" w:space="0"/>
          <w:bottom w:val="single" w:color="AFC4D8" w:sz="6" w:space="0"/>
          <w:right w:val="single" w:color="AFC4D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A89190F">
        <w:tblPrEx>
          <w:tblBorders>
            <w:top w:val="single" w:color="AFC4D8" w:sz="6" w:space="0"/>
            <w:left w:val="single" w:color="AFC4D8" w:sz="6" w:space="0"/>
            <w:bottom w:val="single" w:color="AFC4D8" w:sz="6" w:space="0"/>
            <w:right w:val="single" w:color="AFC4D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F5AE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B2545"/>
                <w:sz w:val="21"/>
              </w:rPr>
              <w:t>我倾向于采用纵向MVP和分阶段建设：第一阶段跑通一个图片场景；第二阶段增加反馈驱动的局部优化；第三阶段再建设经验库、多模态和规模化治理。资源模型、版本血缘、Agent工具权限和质量闭环属于核心能力，应掌握在自己手中；对象存储、计算引擎、调度和模型服务尽量复用现有或成熟开源能力。第一个里程碑建议控制在一个季度左右，具体人力和预算需要领导确认。</w:t>
            </w:r>
          </w:p>
        </w:tc>
      </w:tr>
    </w:tbl>
    <w:p w14:paraId="3442C9A8">
      <w:pPr>
        <w:pStyle w:val="165"/>
        <w:keepNext/>
      </w:pPr>
      <w:r>
        <w:rPr>
          <w:rFonts w:ascii="Calibri" w:hAnsi="Calibri" w:eastAsia="微软雅黑"/>
          <w:b/>
          <w:color w:val="1F4D78"/>
          <w:sz w:val="21"/>
        </w:rPr>
        <w:t>会议记录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665FD529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4A8B">
            <w:pPr>
              <w:keepNext/>
              <w:keepLines/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领导核对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B996">
            <w:pPr>
              <w:keepNext/>
              <w:keepLines/>
              <w:spacing w:before="20" w:after="20"/>
            </w:pPr>
            <w:r>
              <w:rPr>
                <w:rFonts w:ascii="Calibri" w:hAnsi="Calibri" w:eastAsia="微软雅黑"/>
                <w:color w:val="0B2545"/>
                <w:sz w:val="19"/>
              </w:rPr>
              <w:t>☐ 认可初步判断    ☐ 部分调整    ☐ 重新定义</w:t>
            </w:r>
          </w:p>
        </w:tc>
      </w:tr>
      <w:tr w14:paraId="2BBE4A30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4545">
            <w:pPr>
              <w:spacing w:before="20" w:after="2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调整说明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25F9">
            <w:pPr>
              <w:spacing w:before="20" w:after="160"/>
            </w:pPr>
            <w:r>
              <w:t xml:space="preserve"> </w:t>
            </w:r>
          </w:p>
        </w:tc>
      </w:tr>
    </w:tbl>
    <w:p w14:paraId="1D49C9FE">
      <w:pPr>
        <w:spacing w:after="40"/>
      </w:pPr>
    </w:p>
    <w:p w14:paraId="505CA379">
      <w:r>
        <w:br w:type="page"/>
      </w:r>
    </w:p>
    <w:p w14:paraId="6D4A5C22">
      <w:pPr>
        <w:pStyle w:val="3"/>
      </w:pPr>
      <w:r>
        <w:t>会后决策汇总</w:t>
      </w:r>
    </w:p>
    <w:p w14:paraId="34509E83">
      <w:pPr>
        <w:spacing w:after="160"/>
      </w:pPr>
      <w:r>
        <w:rPr>
          <w:rFonts w:ascii="Calibri" w:hAnsi="Calibri" w:eastAsia="微软雅黑"/>
          <w:color w:val="0B2545"/>
          <w:sz w:val="22"/>
        </w:rPr>
        <w:t>会议结束后，建议把最终结论压缩为以下一页，作为后续架构设计和MVP规划的正式输入。</w:t>
      </w:r>
    </w:p>
    <w:tbl>
      <w:tblPr>
        <w:tblStyle w:val="32"/>
        <w:tblW w:w="9360" w:type="dxa"/>
        <w:tblInd w:w="120" w:type="dxa"/>
        <w:tblBorders>
          <w:top w:val="single" w:color="C9D2DE" w:sz="4" w:space="0"/>
          <w:left w:val="single" w:color="C9D2DE" w:sz="4" w:space="0"/>
          <w:bottom w:val="single" w:color="C9D2DE" w:sz="4" w:space="0"/>
          <w:right w:val="single" w:color="C9D2DE" w:sz="4" w:space="0"/>
          <w:insideH w:val="single" w:color="C9D2DE" w:sz="4" w:space="0"/>
          <w:insideV w:val="single" w:color="C9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020"/>
        <w:gridCol w:w="5620"/>
      </w:tblGrid>
      <w:tr w14:paraId="7F147979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8D94">
            <w:pPr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序号</w:t>
            </w:r>
          </w:p>
        </w:tc>
        <w:tc>
          <w:tcPr>
            <w:tcW w:w="3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E35E">
            <w:pPr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决策项</w:t>
            </w:r>
          </w:p>
        </w:tc>
        <w:tc>
          <w:tcPr>
            <w:tcW w:w="5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2900">
            <w:pPr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9"/>
              </w:rPr>
              <w:t>最终结论</w:t>
            </w:r>
          </w:p>
        </w:tc>
      </w:tr>
      <w:tr w14:paraId="3F7037C2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26C39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1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BD4BF">
            <w:r>
              <w:rPr>
                <w:rFonts w:ascii="Calibri" w:hAnsi="Calibri" w:eastAsia="微软雅黑"/>
                <w:color w:val="0B2545"/>
                <w:sz w:val="19"/>
              </w:rPr>
              <w:t>平台定位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BC601">
            <w:r>
              <w:t xml:space="preserve"> </w:t>
            </w:r>
          </w:p>
        </w:tc>
      </w:tr>
      <w:tr w14:paraId="27F7C2F9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BD147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2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1BD92">
            <w:r>
              <w:rPr>
                <w:rFonts w:ascii="Calibri" w:hAnsi="Calibri" w:eastAsia="微软雅黑"/>
                <w:color w:val="0B2545"/>
                <w:sz w:val="19"/>
              </w:rPr>
              <w:t>与Camera DMP关系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8B1F9">
            <w:r>
              <w:t xml:space="preserve"> </w:t>
            </w:r>
          </w:p>
        </w:tc>
      </w:tr>
      <w:tr w14:paraId="0E836314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0A172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3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A06D4">
            <w:r>
              <w:rPr>
                <w:rFonts w:ascii="Calibri" w:hAnsi="Calibri" w:eastAsia="微软雅黑"/>
                <w:color w:val="0B2545"/>
                <w:sz w:val="19"/>
              </w:rPr>
              <w:t>核心问题与成功指标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0615E">
            <w:r>
              <w:t xml:space="preserve"> </w:t>
            </w:r>
          </w:p>
        </w:tc>
      </w:tr>
      <w:tr w14:paraId="0577ABC1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902EF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4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712F8">
            <w:r>
              <w:rPr>
                <w:rFonts w:ascii="Calibri" w:hAnsi="Calibri" w:eastAsia="微软雅黑"/>
                <w:color w:val="0B2545"/>
                <w:sz w:val="19"/>
              </w:rPr>
              <w:t>首期用户与场景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D5B36">
            <w:r>
              <w:t xml:space="preserve"> </w:t>
            </w:r>
          </w:p>
        </w:tc>
      </w:tr>
      <w:tr w14:paraId="12BD5052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7CAF9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5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F6A89">
            <w:r>
              <w:rPr>
                <w:rFonts w:ascii="Calibri" w:hAnsi="Calibri" w:eastAsia="微软雅黑"/>
                <w:color w:val="0B2545"/>
                <w:sz w:val="19"/>
              </w:rPr>
              <w:t>MVP边界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FFC23">
            <w:r>
              <w:t xml:space="preserve"> </w:t>
            </w:r>
          </w:p>
        </w:tc>
      </w:tr>
      <w:tr w14:paraId="09185B2E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7BCC4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6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58E08">
            <w:r>
              <w:rPr>
                <w:rFonts w:ascii="Calibri" w:hAnsi="Calibri" w:eastAsia="微软雅黑"/>
                <w:color w:val="0B2545"/>
                <w:sz w:val="19"/>
              </w:rPr>
              <w:t>数据资产与版本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36991">
            <w:r>
              <w:t xml:space="preserve"> </w:t>
            </w:r>
          </w:p>
        </w:tc>
      </w:tr>
      <w:tr w14:paraId="2861F399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F519F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7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807FF">
            <w:r>
              <w:rPr>
                <w:rFonts w:ascii="Calibri" w:hAnsi="Calibri" w:eastAsia="微软雅黑"/>
                <w:color w:val="0B2545"/>
                <w:sz w:val="19"/>
              </w:rPr>
              <w:t>模型反馈闭环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A0AD6">
            <w:r>
              <w:t xml:space="preserve"> </w:t>
            </w:r>
          </w:p>
        </w:tc>
      </w:tr>
      <w:tr w14:paraId="27D4CF4F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EB626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8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B87EE">
            <w:r>
              <w:rPr>
                <w:rFonts w:ascii="Calibri" w:hAnsi="Calibri" w:eastAsia="微软雅黑"/>
                <w:color w:val="0B2545"/>
                <w:sz w:val="19"/>
              </w:rPr>
              <w:t>Agent自治等级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C3ED8">
            <w:r>
              <w:t xml:space="preserve"> </w:t>
            </w:r>
          </w:p>
        </w:tc>
      </w:tr>
      <w:tr w14:paraId="0A0A33CB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4C0C7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9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DEC12">
            <w:r>
              <w:rPr>
                <w:rFonts w:ascii="Calibri" w:hAnsi="Calibri" w:eastAsia="微软雅黑"/>
                <w:color w:val="0B2545"/>
                <w:sz w:val="19"/>
              </w:rPr>
              <w:t>计算与任务底座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FA71E">
            <w:r>
              <w:t xml:space="preserve"> </w:t>
            </w:r>
          </w:p>
        </w:tc>
      </w:tr>
      <w:tr w14:paraId="1D6FD7E2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43BB5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10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E3AAC">
            <w:r>
              <w:rPr>
                <w:rFonts w:ascii="Calibri" w:hAnsi="Calibri" w:eastAsia="微软雅黑"/>
                <w:color w:val="0B2545"/>
                <w:sz w:val="19"/>
              </w:rPr>
              <w:t>存储与检索分工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ECFB8">
            <w:r>
              <w:t xml:space="preserve"> </w:t>
            </w:r>
          </w:p>
        </w:tc>
      </w:tr>
      <w:tr w14:paraId="31626FC5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F4AC6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11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85543">
            <w:r>
              <w:rPr>
                <w:rFonts w:ascii="Calibri" w:hAnsi="Calibri" w:eastAsia="微软雅黑"/>
                <w:color w:val="0B2545"/>
                <w:sz w:val="19"/>
              </w:rPr>
              <w:t>安全与多租户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6E7DD">
            <w:r>
              <w:t xml:space="preserve"> </w:t>
            </w:r>
          </w:p>
        </w:tc>
      </w:tr>
      <w:tr w14:paraId="12FBFBB3">
        <w:tblPrEx>
          <w:tblBorders>
            <w:top w:val="single" w:color="C9D2DE" w:sz="4" w:space="0"/>
            <w:left w:val="single" w:color="C9D2DE" w:sz="4" w:space="0"/>
            <w:bottom w:val="single" w:color="C9D2DE" w:sz="4" w:space="0"/>
            <w:right w:val="single" w:color="C9D2DE" w:sz="4" w:space="0"/>
            <w:insideH w:val="single" w:color="C9D2DE" w:sz="4" w:space="0"/>
            <w:insideV w:val="single" w:color="C9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C66DF">
            <w:pPr>
              <w:jc w:val="center"/>
            </w:pPr>
            <w:r>
              <w:rPr>
                <w:rFonts w:ascii="Calibri" w:hAnsi="Calibri" w:eastAsia="微软雅黑"/>
                <w:color w:val="0B2545"/>
                <w:sz w:val="19"/>
              </w:rPr>
              <w:t>12</w:t>
            </w:r>
          </w:p>
        </w:tc>
        <w:tc>
          <w:tcPr>
            <w:tcW w:w="3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8EB74">
            <w:r>
              <w:rPr>
                <w:rFonts w:ascii="Calibri" w:hAnsi="Calibri" w:eastAsia="微软雅黑"/>
                <w:color w:val="0B2545"/>
                <w:sz w:val="19"/>
              </w:rPr>
              <w:t>建设节奏与自研边界</w:t>
            </w:r>
          </w:p>
        </w:tc>
        <w:tc>
          <w:tcPr>
            <w:tcW w:w="56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0F1D8">
            <w:r>
              <w:t xml:space="preserve"> </w:t>
            </w:r>
          </w:p>
        </w:tc>
      </w:tr>
    </w:tbl>
    <w:p w14:paraId="168E82CE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AA98D">
    <w:pPr>
      <w:pStyle w:val="24"/>
      <w:jc w:val="right"/>
    </w:pPr>
    <w:r>
      <w:rPr>
        <w:rFonts w:ascii="Calibri" w:hAnsi="Calibri" w:eastAsia="微软雅黑"/>
        <w:color w:val="667085"/>
        <w:sz w:val="18"/>
      </w:rPr>
      <w:t xml:space="preserve">第 </w:t>
    </w:r>
    <w:r>
      <w:rPr>
        <w:rFonts w:ascii="Calibri" w:hAnsi="Calibri" w:eastAsia="微软雅黑"/>
        <w:color w:val="667085"/>
        <w:sz w:val="18"/>
      </w:rPr>
      <w:fldChar w:fldCharType="begin"/>
    </w:r>
    <w:r>
      <w:rPr>
        <w:rFonts w:ascii="Calibri" w:hAnsi="Calibri" w:eastAsia="微软雅黑"/>
        <w:color w:val="667085"/>
        <w:sz w:val="18"/>
      </w:rPr>
      <w:instrText xml:space="preserve"> PAGE </w:instrText>
    </w:r>
    <w:r>
      <w:rPr>
        <w:rFonts w:ascii="Calibri" w:hAnsi="Calibri" w:eastAsia="微软雅黑"/>
        <w:color w:val="667085"/>
        <w:sz w:val="18"/>
      </w:rPr>
      <w:fldChar w:fldCharType="separate"/>
    </w:r>
    <w:r>
      <w:rPr>
        <w:rFonts w:ascii="Calibri" w:hAnsi="Calibri" w:eastAsia="微软雅黑"/>
        <w:color w:val="667085"/>
        <w:sz w:val="18"/>
      </w:rPr>
      <w:t>1</w:t>
    </w:r>
    <w:r>
      <w:rPr>
        <w:rFonts w:ascii="Calibri" w:hAnsi="Calibri" w:eastAsia="微软雅黑"/>
        <w:color w:val="667085"/>
        <w:sz w:val="18"/>
      </w:rPr>
      <w:fldChar w:fldCharType="end"/>
    </w:r>
    <w:r>
      <w:rPr>
        <w:rFonts w:ascii="Calibri" w:hAnsi="Calibri" w:eastAsia="微软雅黑"/>
        <w:color w:val="667085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1DA58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B9BEB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AC0A8">
    <w:pPr>
      <w:pStyle w:val="25"/>
      <w:jc w:val="left"/>
    </w:pPr>
    <w:r>
      <w:rPr>
        <w:rFonts w:ascii="Calibri" w:hAnsi="Calibri" w:eastAsia="微软雅黑"/>
        <w:b/>
        <w:color w:val="667085"/>
        <w:sz w:val="18"/>
      </w:rPr>
      <w:t>Agent数据平台建设｜核心需求核对清单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B2D3B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220CE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42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Option Text"/>
    <w:uiPriority w:val="0"/>
    <w:pPr>
      <w:spacing w:before="0" w:after="60" w:line="276" w:lineRule="auto"/>
      <w:ind w:left="269" w:firstLine="0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customStyle="1" w:styleId="165">
    <w:name w:val="Label Text"/>
    <w:uiPriority w:val="0"/>
    <w:pPr>
      <w:spacing w:before="100" w:after="60" w:line="240" w:lineRule="auto"/>
    </w:pPr>
    <w:rPr>
      <w:rFonts w:ascii="Calibri" w:hAnsi="Calibri" w:eastAsia="微软雅黑" w:cstheme="minorBidi"/>
      <w:b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keywords>Agent数据平台, Camera DMP, LAS, 需求澄清, 架构设计</cp:keywords>
  <cp:lastModifiedBy>MR</cp:lastModifiedBy>
  <dcterms:modified xsi:type="dcterms:W3CDTF">2026-08-03T02:21:04Z</dcterms:modified>
  <dc:subject>Agent数据平台第一轮需求澄清与领导核对</dc:subject>
  <dc:title>Agent数据平台建设核心需求核对清单（领导讨论版）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EA34C746F8454E229366927A055F8047_12</vt:lpwstr>
  </property>
</Properties>
</file>