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40"/>
      </w:pPr>
    </w:p>
    <w:p>
      <w:pPr>
        <w:spacing w:after="200"/>
        <w:jc w:val="center"/>
      </w:pPr>
      <w:r>
        <w:rPr>
          <w:rFonts w:ascii="Microsoft YaHei" w:hAnsi="Microsoft YaHei" w:eastAsia="Microsoft YaHei"/>
          <w:b/>
          <w:color w:val="203748"/>
          <w:sz w:val="50"/>
        </w:rPr>
        <w:t>Camera DMP 底层数据架构重构方案建议书（初版）</w:t>
      </w:r>
    </w:p>
    <w:p>
      <w:pPr>
        <w:spacing w:after="100"/>
        <w:jc w:val="center"/>
      </w:pPr>
      <w:r>
        <w:rPr>
          <w:rFonts w:ascii="Microsoft YaHei" w:hAnsi="Microsoft YaHei" w:eastAsia="Microsoft YaHei"/>
          <w:color w:val="6B7280"/>
          <w:sz w:val="21"/>
        </w:rPr>
        <w:t>文档定位：Camera DMP 底层数据流转、资产管理与在线检索架构重构建议</w:t>
      </w:r>
    </w:p>
    <w:p>
      <w:pPr>
        <w:spacing w:after="100"/>
        <w:jc w:val="center"/>
      </w:pPr>
      <w:r>
        <w:rPr>
          <w:rFonts w:ascii="Microsoft YaHei" w:hAnsi="Microsoft YaHei" w:eastAsia="Microsoft YaHei"/>
          <w:color w:val="6B7280"/>
          <w:sz w:val="21"/>
        </w:rPr>
        <w:t>参考方向：火山引擎 LAS 的数据加工分工与 ByteHouse 的在线多模态检索设计</w:t>
      </w:r>
    </w:p>
    <w:p>
      <w:pPr>
        <w:spacing w:after="100"/>
        <w:jc w:val="center"/>
      </w:pPr>
      <w:r>
        <w:rPr>
          <w:rFonts w:ascii="Microsoft YaHei" w:hAnsi="Microsoft YaHei" w:eastAsia="Microsoft YaHei"/>
          <w:color w:val="6B7280"/>
          <w:sz w:val="21"/>
        </w:rPr>
        <w:t>方案边界：优先明确数据如何接入、加工、版本化、发布、检索、反馈与重建；暂不展开字段级模型、索引参数和部署规格</w:t>
      </w:r>
    </w:p>
    <w:p>
      <w:pPr>
        <w:spacing w:after="100"/>
        <w:jc w:val="center"/>
      </w:pPr>
      <w:r>
        <w:rPr>
          <w:rFonts w:ascii="Microsoft YaHei" w:hAnsi="Microsoft YaHei" w:eastAsia="Microsoft YaHei"/>
          <w:color w:val="6B7280"/>
          <w:sz w:val="21"/>
        </w:rPr>
        <w:t>编制日期：2026-08-13</w:t>
      </w:r>
    </w:p>
    <w:p>
      <w:pPr>
        <w:spacing w:before="360" w:after="440"/>
        <w:pBdr>
          <w:bottom w:val="single" w:sz="10" w:color="2E74B5"/>
        </w:pBdr>
      </w:pP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100"/>
        <w:ind w:left="173"/>
      </w:pPr>
      <w:r>
        <w:rPr>
          <w:rFonts w:ascii="Microsoft YaHei" w:hAnsi="Microsoft YaHei" w:eastAsia="Microsoft YaHei"/>
          <w:color w:val="203748"/>
          <w:sz w:val="21"/>
        </w:rPr>
        <w:t>1. 执行摘要</w:t>
      </w:r>
    </w:p>
    <w:p>
      <w:pPr>
        <w:spacing w:after="100"/>
        <w:ind w:left="173"/>
      </w:pPr>
      <w:r>
        <w:rPr>
          <w:rFonts w:ascii="Microsoft YaHei" w:hAnsi="Microsoft YaHei" w:eastAsia="Microsoft YaHei"/>
          <w:color w:val="203748"/>
          <w:sz w:val="21"/>
        </w:rPr>
        <w:t>2. 设计目标与范围</w:t>
      </w:r>
    </w:p>
    <w:p>
      <w:pPr>
        <w:spacing w:after="100"/>
        <w:ind w:left="173"/>
      </w:pPr>
      <w:r>
        <w:rPr>
          <w:rFonts w:ascii="Microsoft YaHei" w:hAnsi="Microsoft YaHei" w:eastAsia="Microsoft YaHei"/>
          <w:color w:val="203748"/>
          <w:sz w:val="21"/>
        </w:rPr>
        <w:t>3. 参考设计及可借鉴边界</w:t>
      </w:r>
    </w:p>
    <w:p>
      <w:pPr>
        <w:spacing w:after="100"/>
        <w:ind w:left="173"/>
      </w:pPr>
      <w:r>
        <w:rPr>
          <w:rFonts w:ascii="Microsoft YaHei" w:hAnsi="Microsoft YaHei" w:eastAsia="Microsoft YaHei"/>
          <w:color w:val="203748"/>
          <w:sz w:val="21"/>
        </w:rPr>
        <w:t>4. 目标架构</w:t>
      </w:r>
    </w:p>
    <w:p>
      <w:pPr>
        <w:spacing w:after="100"/>
        <w:ind w:left="173"/>
      </w:pPr>
      <w:r>
        <w:rPr>
          <w:rFonts w:ascii="Microsoft YaHei" w:hAnsi="Microsoft YaHei" w:eastAsia="Microsoft YaHei"/>
          <w:color w:val="203748"/>
          <w:sz w:val="21"/>
        </w:rPr>
        <w:t>5. 面向领导的端到端数据流程图</w:t>
      </w:r>
    </w:p>
    <w:p>
      <w:pPr>
        <w:spacing w:after="100"/>
        <w:ind w:left="173"/>
      </w:pPr>
      <w:r>
        <w:rPr>
          <w:rFonts w:ascii="Microsoft YaHei" w:hAnsi="Microsoft YaHei" w:eastAsia="Microsoft YaHei"/>
          <w:color w:val="203748"/>
          <w:sz w:val="21"/>
        </w:rPr>
        <w:t>6. 数据分层与存储边界</w:t>
      </w:r>
    </w:p>
    <w:p>
      <w:pPr>
        <w:spacing w:after="100"/>
        <w:ind w:left="173"/>
      </w:pPr>
      <w:r>
        <w:rPr>
          <w:rFonts w:ascii="Microsoft YaHei" w:hAnsi="Microsoft YaHei" w:eastAsia="Microsoft YaHei"/>
          <w:color w:val="203748"/>
          <w:sz w:val="21"/>
        </w:rPr>
        <w:t>7. 统一多模态数据组织</w:t>
      </w:r>
    </w:p>
    <w:p>
      <w:pPr>
        <w:spacing w:after="100"/>
        <w:ind w:left="173"/>
      </w:pPr>
      <w:r>
        <w:rPr>
          <w:rFonts w:ascii="Microsoft YaHei" w:hAnsi="Microsoft YaHei" w:eastAsia="Microsoft YaHei"/>
          <w:color w:val="203748"/>
          <w:sz w:val="21"/>
        </w:rPr>
        <w:t>8. 数据生命周期与关键流程</w:t>
      </w:r>
    </w:p>
    <w:p>
      <w:pPr>
        <w:spacing w:after="100"/>
        <w:ind w:left="173"/>
      </w:pPr>
      <w:r>
        <w:rPr>
          <w:rFonts w:ascii="Microsoft YaHei" w:hAnsi="Microsoft YaHei" w:eastAsia="Microsoft YaHei"/>
          <w:color w:val="203748"/>
          <w:sz w:val="21"/>
        </w:rPr>
        <w:t>9. 事实层、投影层与一致性</w:t>
      </w:r>
    </w:p>
    <w:p>
      <w:pPr>
        <w:spacing w:after="100"/>
        <w:ind w:left="173"/>
      </w:pPr>
      <w:r>
        <w:rPr>
          <w:rFonts w:ascii="Microsoft YaHei" w:hAnsi="Microsoft YaHei" w:eastAsia="Microsoft YaHei"/>
          <w:color w:val="203748"/>
          <w:sz w:val="21"/>
        </w:rPr>
        <w:t>10. Doris 与 ClickHouse 的定位建议</w:t>
      </w:r>
    </w:p>
    <w:p>
      <w:pPr>
        <w:spacing w:after="100"/>
        <w:ind w:left="173"/>
      </w:pPr>
      <w:r>
        <w:rPr>
          <w:rFonts w:ascii="Microsoft YaHei" w:hAnsi="Microsoft YaHei" w:eastAsia="Microsoft YaHei"/>
          <w:color w:val="203748"/>
          <w:sz w:val="21"/>
        </w:rPr>
        <w:t>11. 与当前架构相比的主要变化</w:t>
      </w:r>
    </w:p>
    <w:p>
      <w:pPr>
        <w:spacing w:after="100"/>
        <w:ind w:left="173"/>
      </w:pPr>
      <w:r>
        <w:rPr>
          <w:rFonts w:ascii="Microsoft YaHei" w:hAnsi="Microsoft YaHei" w:eastAsia="Microsoft YaHei"/>
          <w:color w:val="203748"/>
          <w:sz w:val="21"/>
        </w:rPr>
        <w:t>12. 分阶段落地建议</w:t>
      </w:r>
    </w:p>
    <w:p>
      <w:pPr>
        <w:spacing w:after="100"/>
        <w:ind w:left="173"/>
      </w:pPr>
      <w:r>
        <w:rPr>
          <w:rFonts w:ascii="Microsoft YaHei" w:hAnsi="Microsoft YaHei" w:eastAsia="Microsoft YaHei"/>
          <w:color w:val="203748"/>
          <w:sz w:val="21"/>
        </w:rPr>
        <w:t>13. PoC 与验收框架</w:t>
      </w:r>
    </w:p>
    <w:p>
      <w:pPr>
        <w:spacing w:after="100"/>
        <w:ind w:left="173"/>
      </w:pPr>
      <w:r>
        <w:rPr>
          <w:rFonts w:ascii="Microsoft YaHei" w:hAnsi="Microsoft YaHei" w:eastAsia="Microsoft YaHei"/>
          <w:color w:val="203748"/>
          <w:sz w:val="21"/>
        </w:rPr>
        <w:t>14. 主要风险与控制建议</w:t>
      </w:r>
    </w:p>
    <w:p>
      <w:pPr>
        <w:spacing w:after="100"/>
        <w:ind w:left="173"/>
      </w:pPr>
      <w:r>
        <w:rPr>
          <w:rFonts w:ascii="Microsoft YaHei" w:hAnsi="Microsoft YaHei" w:eastAsia="Microsoft YaHei"/>
          <w:color w:val="203748"/>
          <w:sz w:val="21"/>
        </w:rPr>
        <w:t>15. 方案结论</w:t>
      </w:r>
    </w:p>
    <w:p>
      <w:pPr>
        <w:spacing w:after="100"/>
        <w:ind w:left="173"/>
      </w:pPr>
      <w:r>
        <w:rPr>
          <w:rFonts w:ascii="Microsoft YaHei" w:hAnsi="Microsoft YaHei" w:eastAsia="Microsoft YaHei"/>
          <w:color w:val="203748"/>
          <w:sz w:val="21"/>
        </w:rPr>
        <w:t>16. 后续需要深化的专题</w:t>
      </w:r>
    </w:p>
    <w:p>
      <w:pPr>
        <w:spacing w:after="100"/>
        <w:ind w:left="173"/>
      </w:pPr>
      <w:r>
        <w:rPr>
          <w:rFonts w:ascii="Microsoft YaHei" w:hAnsi="Microsoft YaHei" w:eastAsia="Microsoft YaHei"/>
          <w:color w:val="203748"/>
          <w:sz w:val="21"/>
        </w:rPr>
        <w:t>17. 参考依据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2E74B5"/>
          <w:sz w:val="32"/>
        </w:rPr>
        <w:t>1. 执行摘要</w:t>
      </w:r>
    </w:p>
    <w:p>
      <w:r>
        <w:rPr>
          <w:rFonts w:ascii="Microsoft YaHei" w:hAnsi="Microsoft YaHei" w:eastAsia="Microsoft YaHei"/>
          <w:color w:val="222222"/>
          <w:sz w:val="21"/>
        </w:rPr>
        <w:t>Camera DMP 已具备数据接入、检索、标注、质检、工作流和交付等能力，PostgreSQL、ClickHouse、对象存储、RabbitMQ、Celery、Milvus 及外部 AI 计算平台各自承担了一部分职责。随着数据规模和业务类型增加，原始文件、业务版本、加工结果、元数据和向量索引分散管理的问题逐渐显现：同一份数据在不同系统中的状态难以核对，数据版本难以准确复现，发布和回滚也缺少清晰边界。</w:t>
      </w:r>
    </w:p>
    <w:p>
      <w:r>
        <w:rPr>
          <w:rFonts w:ascii="Microsoft YaHei" w:hAnsi="Microsoft YaHei" w:eastAsia="Microsoft YaHei"/>
          <w:color w:val="222222"/>
          <w:sz w:val="21"/>
        </w:rPr>
        <w:t>本次重构借鉴 LAS 与 ByteHouse 的职责划分，重点吸收数据加工、资产管理和在线检索分层的做法，不复刻其闭源实现：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b/>
          <w:color w:val="222222"/>
          <w:sz w:val="21"/>
        </w:rPr>
        <w:t>S3 作为持久数据事实层</w:t>
      </w:r>
      <w:r>
        <w:rPr>
          <w:rFonts w:ascii="Microsoft YaHei" w:hAnsi="Microsoft YaHei" w:eastAsia="Microsoft YaHei"/>
          <w:color w:val="222222"/>
          <w:sz w:val="21"/>
        </w:rPr>
        <w:t>：保存原始多模态文件，也保存标准化样本、解析结果、标注、特征、Embedding、Manifest 等版本化派生资产；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b/>
          <w:color w:val="222222"/>
          <w:sz w:val="21"/>
        </w:rPr>
        <w:t>PostgreSQL 作为业务控制面</w:t>
      </w:r>
      <w:r>
        <w:rPr>
          <w:rFonts w:ascii="Microsoft YaHei" w:hAnsi="Microsoft YaHei" w:eastAsia="Microsoft YaHei"/>
          <w:color w:val="222222"/>
          <w:sz w:val="21"/>
        </w:rPr>
        <w:t>：管理租户、权限、数据集、数据版本、Schema、任务、血缘、审批、发布状态和索引水位；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b/>
          <w:color w:val="222222"/>
          <w:sz w:val="21"/>
        </w:rPr>
        <w:t>数据加工层承担多模态理解</w:t>
      </w:r>
      <w:r>
        <w:rPr>
          <w:rFonts w:ascii="Microsoft YaHei" w:hAnsi="Microsoft YaHei" w:eastAsia="Microsoft YaHei"/>
          <w:color w:val="222222"/>
          <w:sz w:val="21"/>
        </w:rPr>
        <w:t>：完成解析、清洗、切分、OCR、ASR、Caption、质量评估和 Embedding，不把这些职责交给在线数据库；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b/>
          <w:color w:val="222222"/>
          <w:sz w:val="21"/>
        </w:rPr>
        <w:t>Doris 或 ClickHouse 作为在线服务投影</w:t>
      </w:r>
      <w:r>
        <w:rPr>
          <w:rFonts w:ascii="Microsoft YaHei" w:hAnsi="Microsoft YaHei" w:eastAsia="Microsoft YaHei"/>
          <w:color w:val="222222"/>
          <w:sz w:val="21"/>
        </w:rPr>
        <w:t>：在线保存可检索元数据、文本和向量，建立索引并执行结构化、全文和向量混合检索；其中 Doris 为 ByteHouse 替代方向的优先验证对象，ClickHouse 使用同一工作负载建立正式基准和回退能力；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b/>
          <w:color w:val="222222"/>
          <w:sz w:val="21"/>
        </w:rPr>
        <w:t>在线数据库不是唯一数据事实</w:t>
      </w:r>
      <w:r>
        <w:rPr>
          <w:rFonts w:ascii="Microsoft YaHei" w:hAnsi="Microsoft YaHei" w:eastAsia="Microsoft YaHei"/>
          <w:color w:val="222222"/>
          <w:sz w:val="21"/>
        </w:rPr>
        <w:t>：数据库中的数据和索引必须能够从 S3 上已发布的固定数据版本重新构建；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b/>
          <w:color w:val="222222"/>
          <w:sz w:val="21"/>
        </w:rPr>
        <w:t>以发布协议连接资产层与服务层</w:t>
      </w:r>
      <w:r>
        <w:rPr>
          <w:rFonts w:ascii="Microsoft YaHei" w:hAnsi="Microsoft YaHei" w:eastAsia="Microsoft YaHei"/>
          <w:color w:val="222222"/>
          <w:sz w:val="21"/>
        </w:rPr>
        <w:t>：只有通过质量校验、生成不可变 Manifest 并完成在线投影的数据版本，才对业务可见。</w:t>
      </w:r>
    </w:p>
    <w:p>
      <w:r>
        <w:rPr>
          <w:rFonts w:ascii="Microsoft YaHei" w:hAnsi="Microsoft YaHei" w:eastAsia="Microsoft YaHei"/>
          <w:color w:val="222222"/>
          <w:sz w:val="21"/>
        </w:rPr>
        <w:t>整体分工是：S3 保存原始数据和派生数据，PostgreSQL 管理业务状态与版本，计算任务生成可复现的数据集，Doris/ClickHouse 承担在线检索。数据库中的数据和索引均可由 S3 上的已发布版本重建。</w:t>
      </w:r>
    </w:p>
    <w:p>
      <w:r>
        <w:rPr>
          <w:rFonts w:ascii="Microsoft YaHei" w:hAnsi="Microsoft YaHei" w:eastAsia="Microsoft YaHei"/>
          <w:color w:val="222222"/>
          <w:sz w:val="21"/>
        </w:rPr>
        <w:t>本次重构优先解决以下问题：</w:t>
      </w:r>
    </w:p>
    <w:p>
      <w:pPr>
        <w:pStyle w:val="ListNumber"/>
        <w:numPr>
          <w:ilvl w:val="0"/>
          <w:numId w:val="10"/>
        </w:numPr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原始数据与加工结果边界不清；</w:t>
      </w:r>
    </w:p>
    <w:p>
      <w:pPr>
        <w:pStyle w:val="ListNumber"/>
        <w:numPr>
          <w:ilvl w:val="0"/>
          <w:numId w:val="10"/>
        </w:numPr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路径被当作数据身份，跨版本和跨系统关联不稳定；</w:t>
      </w:r>
    </w:p>
    <w:p>
      <w:pPr>
        <w:pStyle w:val="ListNumber"/>
        <w:numPr>
          <w:ilvl w:val="0"/>
          <w:numId w:val="10"/>
        </w:numPr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数据版本只存在于业务记录中，无法精确复现其实际内容；</w:t>
      </w:r>
    </w:p>
    <w:p>
      <w:pPr>
        <w:pStyle w:val="ListNumber"/>
        <w:numPr>
          <w:ilvl w:val="0"/>
          <w:numId w:val="10"/>
        </w:numPr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元数据、文本和向量分别写入多个系统，发布状态与检索可见性不一致；</w:t>
      </w:r>
    </w:p>
    <w:p>
      <w:pPr>
        <w:pStyle w:val="ListNumber"/>
        <w:numPr>
          <w:ilvl w:val="0"/>
          <w:numId w:val="10"/>
        </w:numPr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在线索引一旦损坏或更换数据库，缺少统一重建来源。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  <w:sz w:val="32"/>
        </w:rPr>
        <w:t>2. 设计目标与范围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2.1 设计目标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建立覆盖图片、视频、音频、文档及其衍生文本、标签和向量的统一数据流；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使每一份已发布数据集都具备稳定身份、固定内容、明确 Schema、完整血缘和可重建能力；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将 S3 云端持久存储与线下数据库、缓存和计算资源清晰解耦；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使 Doris 与 ClickHouse 遵循同一投影契约，数据库选型变化不影响上层数据资产模型；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支持批量导入、增量更新、重新加工、模型升级、删除传播和版本回滚；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为检索、训练、评测、标注、质检和数据交付提供一致的数据版本入口；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在不一次性推翻现有业务系统的前提下分阶段迁移。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2.2 初版范围</w:t>
      </w:r>
    </w:p>
    <w:p>
      <w:r>
        <w:rPr>
          <w:rFonts w:ascii="Microsoft YaHei" w:hAnsi="Microsoft YaHei" w:eastAsia="Microsoft YaHei"/>
          <w:color w:val="222222"/>
          <w:sz w:val="21"/>
        </w:rPr>
        <w:t>本方案覆盖：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数据接入与登记；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多模态解析和加工；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Raw、标准化资产与 DatasetVersion 的组织；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数据版本发布及在线投影；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结构化、全文和向量混合检索；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数据消费、反馈回流和版本再生产；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一致性、重放、重建、回滚和删除；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Doris/ClickHouse 的职责与选择建议；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分阶段落地建议。</w:t>
      </w:r>
    </w:p>
    <w:p>
      <w:r>
        <w:rPr>
          <w:rFonts w:ascii="Microsoft YaHei" w:hAnsi="Microsoft YaHei" w:eastAsia="Microsoft YaHei"/>
          <w:color w:val="222222"/>
          <w:sz w:val="21"/>
        </w:rPr>
        <w:t>以下内容留待后续专题设计：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每张表、每个字段和完整 Schema；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索引类型、分区、排序键、向量维度和参数；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服务器数量、CPU、内存、磁盘和网络规格；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API 请求响应结构及完整检索 DSL；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详细容量估算、压测脚本与生产运维手册。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  <w:sz w:val="32"/>
        </w:rPr>
        <w:t>3. 参考设计及可借鉴边界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3.1 LAS + ByteHouse 案例中的职责划分</w:t>
      </w:r>
    </w:p>
    <w:p>
      <w:r>
        <w:rPr>
          <w:rFonts w:ascii="Microsoft YaHei" w:hAnsi="Microsoft YaHei" w:eastAsia="Microsoft YaHei"/>
          <w:color w:val="222222"/>
          <w:sz w:val="21"/>
        </w:rPr>
        <w:t>火山引擎企业级 RAG 案例的主链路可归纳为：</w:t>
      </w:r>
    </w:p>
    <w:p>
      <w:pPr>
        <w:spacing w:before="80" w:after="160" w:line="252" w:lineRule="auto"/>
        <w:ind w:left="216" w:right="216"/>
        <w:jc w:val="left"/>
        <w:shd w:fill="F3F4F6"/>
      </w:pPr>
      <w:r>
        <w:rPr>
          <w:rFonts w:ascii="Microsoft YaHei" w:hAnsi="Microsoft YaHei" w:eastAsia="Microsoft YaHei"/>
          <w:color w:val="263238"/>
          <w:sz w:val="17"/>
        </w:rPr>
        <w:t>PDF 原始文件存入 TOS</w:t>
        <w:br/>
        <w:t xml:space="preserve">        ↓</w:t>
        <w:br/>
        <w:t>LAS / Daft 调用 PDFParse 解析文本和图片</w:t>
        <w:br/>
        <w:t xml:space="preserve">        ↓</w:t>
        <w:br/>
        <w:t>LAS 算子进行文本切分和多模态 Embedding</w:t>
        <w:br/>
        <w:t xml:space="preserve">        ↓</w:t>
        <w:br/>
        <w:t>ClickhouseWriter 将文件引用、模态、内容和向量写入 ByteHouse</w:t>
        <w:br/>
        <w:t xml:space="preserve">        ↓</w:t>
        <w:br/>
        <w:t>ByteHouse 建立并维护在线索引</w:t>
        <w:br/>
        <w:t xml:space="preserve">        ↓</w:t>
        <w:br/>
        <w:t>查询向量化</w:t>
        <w:br/>
        <w:t xml:space="preserve">        ↓</w:t>
        <w:br/>
        <w:t>ByteHouse 执行结构化过滤 + 向量 Top-K</w:t>
        <w:br/>
        <w:t xml:space="preserve">        ↓</w:t>
        <w:br/>
        <w:t>文本片段或图片路径返回上层 RAG 应用</w:t>
      </w:r>
    </w:p>
    <w:p>
      <w:r>
        <w:rPr>
          <w:rFonts w:ascii="Microsoft YaHei" w:hAnsi="Microsoft YaHei" w:eastAsia="Microsoft YaHei"/>
          <w:color w:val="222222"/>
          <w:sz w:val="21"/>
        </w:rPr>
        <w:t>从这条链路可以看出各层的职责：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对象存储保存原始内容；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数据加工平台负责理解和转换多模态数据；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在线数据库接收加工后的标准化记录，而不是直接理解 S3 中的原始文件；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在线数据库维护自己的检索数据和索引；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上层应用通过统一检索服务取得片段、文件引用和相关属性。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3.2 本方案的开源替代映射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53"/>
        <w:gridCol w:w="4131"/>
        <w:gridCol w:w="3676"/>
      </w:tblGrid>
      <w:tr>
        <w:trPr>
          <w:tblHeader w:val="true"/>
        </w:trPr>
        <w:tc>
          <w:tcPr>
            <w:tcW w:type="dxa" w:w="15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火山引擎参考角色</w:t>
            </w:r>
          </w:p>
        </w:tc>
        <w:tc>
          <w:tcPr>
            <w:tcW w:type="dxa" w:w="41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Camera DMP 建议角色</w:t>
            </w:r>
          </w:p>
        </w:tc>
        <w:tc>
          <w:tcPr>
            <w:tcW w:type="dxa" w:w="36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说明</w:t>
            </w:r>
          </w:p>
        </w:tc>
      </w:tr>
      <w:tr>
        <w:tc>
          <w:tcPr>
            <w:tcW w:type="dxa" w:w="15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TOS</w:t>
            </w:r>
          </w:p>
        </w:tc>
        <w:tc>
          <w:tcPr>
            <w:tcW w:type="dxa" w:w="41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现有 S3/OBS/MinIO 兼容对象存储</w:t>
            </w:r>
          </w:p>
        </w:tc>
        <w:tc>
          <w:tcPr>
            <w:tcW w:type="dxa" w:w="36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保存原始 Blob 与持久化派生资产</w:t>
            </w:r>
          </w:p>
        </w:tc>
      </w:tr>
      <w:tr>
        <w:tc>
          <w:tcPr>
            <w:tcW w:type="dxa" w:w="15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LAS 数据资产与任务控制</w:t>
            </w:r>
          </w:p>
        </w:tc>
        <w:tc>
          <w:tcPr>
            <w:tcW w:type="dxa" w:w="41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PostgreSQL + DatasetVersion 管理 + 工作流</w:t>
            </w:r>
          </w:p>
        </w:tc>
        <w:tc>
          <w:tcPr>
            <w:tcW w:type="dxa" w:w="36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管理数据、任务、版本、血缘与发布</w:t>
            </w:r>
          </w:p>
        </w:tc>
      </w:tr>
      <w:tr>
        <w:tc>
          <w:tcPr>
            <w:tcW w:type="dxa" w:w="15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Daft/Ray 多模态加工</w:t>
            </w:r>
          </w:p>
        </w:tc>
        <w:tc>
          <w:tcPr>
            <w:tcW w:type="dxa" w:w="41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现有 Celery/Polars/PyArrow/GPU 作业，后续可演进分布式计算</w:t>
            </w:r>
          </w:p>
        </w:tc>
        <w:tc>
          <w:tcPr>
            <w:tcW w:type="dxa" w:w="36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解析、清洗、切分、特征生成与批量处理</w:t>
            </w:r>
          </w:p>
        </w:tc>
      </w:tr>
      <w:tr>
        <w:tc>
          <w:tcPr>
            <w:tcW w:type="dxa" w:w="15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Lance 数据组织</w:t>
            </w:r>
          </w:p>
        </w:tc>
        <w:tc>
          <w:tcPr>
            <w:tcW w:type="dxa" w:w="41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S3 上的 Lance 格式与 SDK</w:t>
            </w:r>
          </w:p>
        </w:tc>
        <w:tc>
          <w:tcPr>
            <w:tcW w:type="dxa" w:w="36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保存版本化标准样本和派生资产；PoC 不通过时回退到 Parquet + Manifest</w:t>
            </w:r>
          </w:p>
        </w:tc>
      </w:tr>
      <w:tr>
        <w:tc>
          <w:tcPr>
            <w:tcW w:type="dxa" w:w="15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ByteHouse 在线服务</w:t>
            </w:r>
          </w:p>
        </w:tc>
        <w:tc>
          <w:tcPr>
            <w:tcW w:type="dxa" w:w="41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首选 Apache Doris，回退 ClickHouse</w:t>
            </w:r>
          </w:p>
        </w:tc>
        <w:tc>
          <w:tcPr>
            <w:tcW w:type="dxa" w:w="36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保存在线投影并执行混合检索</w:t>
            </w:r>
          </w:p>
        </w:tc>
      </w:tr>
      <w:tr>
        <w:tc>
          <w:tcPr>
            <w:tcW w:type="dxa" w:w="15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ByteHouseWriter</w:t>
            </w:r>
          </w:p>
        </w:tc>
        <w:tc>
          <w:tcPr>
            <w:tcW w:type="dxa" w:w="41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Camera DMP Projector</w:t>
            </w:r>
          </w:p>
        </w:tc>
        <w:tc>
          <w:tcPr>
            <w:tcW w:type="dxa" w:w="36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按固定版本将数据幂等投影到在线数据库</w:t>
            </w:r>
          </w:p>
        </w:tc>
      </w:tr>
      <w:tr>
        <w:tc>
          <w:tcPr>
            <w:tcW w:type="dxa" w:w="15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在线查询入口</w:t>
            </w:r>
          </w:p>
        </w:tc>
        <w:tc>
          <w:tcPr>
            <w:tcW w:type="dxa" w:w="41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Search API / Search Gateway</w:t>
            </w:r>
          </w:p>
        </w:tc>
        <w:tc>
          <w:tcPr>
            <w:tcW w:type="dxa" w:w="36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权限、查询编排、融合、去重和结果封装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color w:val="222222"/>
          <w:sz w:val="21"/>
        </w:rPr>
        <w:t>ByteHouse 的闭源文件格式、分布式缓存和执行引擎优化不在本次复现范围内，Doris 和 ClickHouse 也不能视为 ByteHouse 的等价实现。本方案借鉴的是三项架构做法：数据加工与在线检索分开建设；不同模态转换为统一的检索记录；在线服务数据可以从持久化资产重新生成。</w:t>
      </w:r>
    </w:p>
    <w:p>
      <w:r>
        <w:rPr>
          <w:rFonts w:ascii="Microsoft YaHei" w:hAnsi="Microsoft YaHei" w:eastAsia="Microsoft YaHei"/>
          <w:color w:val="222222"/>
          <w:sz w:val="21"/>
        </w:rPr>
        <w:t>ByteHouse 通过分布式 SSD 缓存和计算侧文件系统降低远程读取开销。S3 与线下服务器组合部署不具备这些现成能力，网络带宽、远程小文件访问、本地 SSD 缓存、缓存失效以及 S3 故障时的处理方式均需单独设计和验证。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  <w:sz w:val="32"/>
        </w:rPr>
        <w:t>4. 目标架构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4.1 四个平面</w:t>
      </w:r>
    </w:p>
    <w:p>
      <w:r>
        <w:rPr>
          <w:rFonts w:ascii="Microsoft YaHei" w:hAnsi="Microsoft YaHei" w:eastAsia="Microsoft YaHei"/>
          <w:color w:val="222222"/>
          <w:sz w:val="21"/>
        </w:rPr>
        <w:t>目标架构划分为四个平面。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72"/>
        <w:gridCol w:w="3356"/>
        <w:gridCol w:w="4058"/>
        <w:gridCol w:w="974"/>
      </w:tblGrid>
      <w:tr>
        <w:trPr>
          <w:tblHeader w:val="true"/>
        </w:trPr>
        <w:tc>
          <w:tcPr>
            <w:tcW w:type="dxa" w:w="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203748"/>
                <w:sz w:val="17"/>
              </w:rPr>
              <w:t>平面</w:t>
            </w:r>
          </w:p>
        </w:tc>
        <w:tc>
          <w:tcPr>
            <w:tcW w:type="dxa" w:w="33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203748"/>
                <w:sz w:val="17"/>
              </w:rPr>
              <w:t>主要组件</w:t>
            </w:r>
          </w:p>
        </w:tc>
        <w:tc>
          <w:tcPr>
            <w:tcW w:type="dxa" w:w="40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203748"/>
                <w:sz w:val="17"/>
              </w:rPr>
              <w:t>核心职责</w:t>
            </w:r>
          </w:p>
        </w:tc>
        <w:tc>
          <w:tcPr>
            <w:tcW w:type="dxa" w:w="9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203748"/>
                <w:sz w:val="17"/>
              </w:rPr>
              <w:t>是否为持久事实</w:t>
            </w:r>
          </w:p>
        </w:tc>
      </w:tr>
      <w:tr>
        <w:tc>
          <w:tcPr>
            <w:tcW w:type="dxa" w:w="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业务控制面</w:t>
            </w:r>
          </w:p>
        </w:tc>
        <w:tc>
          <w:tcPr>
            <w:tcW w:type="dxa" w:w="33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PostgreSQL、API、权限、工作流</w:t>
            </w:r>
          </w:p>
        </w:tc>
        <w:tc>
          <w:tcPr>
            <w:tcW w:type="dxa" w:w="40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数据集、版本、Schema、任务、血缘、审批、发布与水位</w:t>
            </w:r>
          </w:p>
        </w:tc>
        <w:tc>
          <w:tcPr>
            <w:tcW w:type="dxa" w:w="9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是，业务事实</w:t>
            </w:r>
          </w:p>
        </w:tc>
      </w:tr>
      <w:tr>
        <w:tc>
          <w:tcPr>
            <w:tcW w:type="dxa" w:w="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数据资产面</w:t>
            </w:r>
          </w:p>
        </w:tc>
        <w:tc>
          <w:tcPr>
            <w:tcW w:type="dxa" w:w="33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S3 Raw 区、标准化区、Lance Dataset 版本区</w:t>
            </w:r>
          </w:p>
        </w:tc>
        <w:tc>
          <w:tcPr>
            <w:tcW w:type="dxa" w:w="40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原始文件、派生内容、固定版本、Manifest 与交换文件；Parquet + Manifest 作为回退</w:t>
            </w:r>
          </w:p>
        </w:tc>
        <w:tc>
          <w:tcPr>
            <w:tcW w:type="dxa" w:w="9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是，数据事实</w:t>
            </w:r>
          </w:p>
        </w:tc>
      </w:tr>
      <w:tr>
        <w:tc>
          <w:tcPr>
            <w:tcW w:type="dxa" w:w="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数据加工面</w:t>
            </w:r>
          </w:p>
        </w:tc>
        <w:tc>
          <w:tcPr>
            <w:tcW w:type="dxa" w:w="33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RabbitMQ/Celery、CPU/GPU Worker、外部 AI 平台</w:t>
            </w:r>
          </w:p>
        </w:tc>
        <w:tc>
          <w:tcPr>
            <w:tcW w:type="dxa" w:w="40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解析、清洗、切分、标注、质检、Embedding 和批处理</w:t>
            </w:r>
          </w:p>
        </w:tc>
        <w:tc>
          <w:tcPr>
            <w:tcW w:type="dxa" w:w="9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否，执行过程可重试</w:t>
            </w:r>
          </w:p>
        </w:tc>
      </w:tr>
      <w:tr>
        <w:tc>
          <w:tcPr>
            <w:tcW w:type="dxa" w:w="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在线服务面</w:t>
            </w:r>
          </w:p>
        </w:tc>
        <w:tc>
          <w:tcPr>
            <w:tcW w:type="dxa" w:w="33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Doris 或 ClickHouse、Search API、缓存</w:t>
            </w:r>
          </w:p>
        </w:tc>
        <w:tc>
          <w:tcPr>
            <w:tcW w:type="dxa" w:w="40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在线过滤、全文、向量、融合、聚合与结果返回</w:t>
            </w:r>
          </w:p>
        </w:tc>
        <w:tc>
          <w:tcPr>
            <w:tcW w:type="dxa" w:w="9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否，可重建投影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4.2 总体逻辑架构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9999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99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B7280"/>
          <w:sz w:val="17"/>
        </w:rPr>
        <w:t>图：Camera DMP 目标数据架构</w:t>
      </w:r>
    </w:p>
    <w:p>
      <w:r>
        <w:rPr>
          <w:rFonts w:ascii="Microsoft YaHei" w:hAnsi="Microsoft YaHei" w:eastAsia="Microsoft YaHei"/>
          <w:color w:val="222222"/>
          <w:sz w:val="21"/>
        </w:rPr>
        <w:t>图中有两类数据消费路径：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Search API 面向低延迟检索、筛选、浏览和 RAG 召回；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固定 DatasetVersion 面向训练、评测、批量加工和数据交付，避免通过在线搜索结果临时拼装训练数据。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  <w:sz w:val="32"/>
        </w:rPr>
        <w:t>5. 面向领导的端到端数据流程图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5.1 主数据链路</w:t>
      </w:r>
    </w:p>
    <w:p>
      <w:pPr>
        <w:spacing w:before="80" w:after="160" w:line="252" w:lineRule="auto"/>
        <w:ind w:left="216" w:right="216"/>
        <w:jc w:val="left"/>
        <w:shd w:fill="F3F4F6"/>
      </w:pPr>
      <w:r>
        <w:rPr>
          <w:rFonts w:ascii="Microsoft YaHei" w:hAnsi="Microsoft YaHei" w:eastAsia="Microsoft YaHei"/>
          <w:color w:val="263238"/>
          <w:sz w:val="17"/>
        </w:rPr>
        <w:t>图片、视频、音频、文档及业务元数据进入 Camera DMP</w:t>
        <w:br/>
        <w:t xml:space="preserve">                            ↓</w:t>
        <w:br/>
        <w:t>原始文件写入 S3 Raw 区，PostgreSQL 登记稳定资产 ID、来源和接入任务</w:t>
        <w:br/>
        <w:t xml:space="preserve">                            ↓</w:t>
        <w:br/>
        <w:t>事件触发数据加工任务</w:t>
        <w:br/>
        <w:t xml:space="preserve">                            ↓</w:t>
        <w:br/>
        <w:t>解析、清洗、去重，并按模态生成统一检索单元</w:t>
        <w:br/>
        <w:t>（图片 / 文档块 / 视频片段与关键帧 / 音频片段）</w:t>
        <w:br/>
        <w:t xml:space="preserve">                            ↓</w:t>
        <w:br/>
        <w:t>生成 OCR、ASR、Caption、标签、质量结果和多模态 Embedding</w:t>
        <w:br/>
        <w:t xml:space="preserve">                            ↓</w:t>
        <w:br/>
        <w:t>标准化样本及派生结果写回 S3，形成可追溯的数据资产</w:t>
        <w:br/>
        <w:t xml:space="preserve">                            ↓</w:t>
        <w:br/>
        <w:t>通过 Schema、完整性、关联关系和质量校验</w:t>
        <w:br/>
        <w:t xml:space="preserve">                            ↓</w:t>
        <w:br/>
        <w:t>冻结 DatasetVersion，生成不可变 Manifest 和处理血缘</w:t>
        <w:br/>
        <w:t xml:space="preserve">                            ↓</w:t>
        <w:br/>
        <w:t>Projector 将该固定版本的元数据、文本和向量写入线下 Doris / ClickHouse</w:t>
        <w:br/>
        <w:t xml:space="preserve">                            ↓</w:t>
        <w:br/>
        <w:t>Doris / ClickHouse 建立并维护结构化、全文和向量在线索引</w:t>
        <w:br/>
        <w:t xml:space="preserve">                            ↓</w:t>
        <w:br/>
        <w:t>用户查询或图片经过同版本模型向量化</w:t>
        <w:br/>
        <w:t xml:space="preserve">                            ↓</w:t>
        <w:br/>
        <w:t>在线数据库执行权限范围内的结构化过滤 + 全文召回 + 向量 Top-K + 融合排序</w:t>
        <w:br/>
        <w:t xml:space="preserve">                            ↓</w:t>
        <w:br/>
        <w:t>Search API 返回稳定资产 ID、片段内容、S3 文件引用和版本信息</w:t>
        <w:br/>
        <w:t xml:space="preserve">                            ↓</w:t>
        <w:br/>
        <w:t>供检索、RAG、标注、质检、训练选数、评测和数据交付使用</w:t>
        <w:br/>
        <w:t xml:space="preserve">                            ↓</w:t>
        <w:br/>
        <w:t>人工修订、质量反馈和模型结果回流，生成新的派生数据与 DatasetVersion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5.2 流程约束</w:t>
      </w:r>
    </w:p>
    <w:p>
      <w:pPr>
        <w:pStyle w:val="ListNumber"/>
        <w:numPr>
          <w:ilvl w:val="0"/>
          <w:numId w:val="11"/>
        </w:numPr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原始文件始终保留在 S3，不因数据库部署在线下而迁移其长期存储位置；</w:t>
      </w:r>
    </w:p>
    <w:p>
      <w:pPr>
        <w:pStyle w:val="ListNumber"/>
        <w:numPr>
          <w:ilvl w:val="0"/>
          <w:numId w:val="11"/>
        </w:numPr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文本、标签和向量先作为版本化派生资产保存，再发布到在线数据库；</w:t>
      </w:r>
    </w:p>
    <w:p>
      <w:pPr>
        <w:pStyle w:val="ListNumber"/>
        <w:numPr>
          <w:ilvl w:val="0"/>
          <w:numId w:val="11"/>
        </w:numPr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在线数据库维护自己的索引，不直接在外部原始文件上“原地建索引”；</w:t>
      </w:r>
    </w:p>
    <w:p>
      <w:pPr>
        <w:pStyle w:val="ListNumber"/>
        <w:numPr>
          <w:ilvl w:val="0"/>
          <w:numId w:val="11"/>
        </w:numPr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发布单位是固定 DatasetVersion，不是若干相互独立的表写入动作；</w:t>
      </w:r>
    </w:p>
    <w:p>
      <w:pPr>
        <w:pStyle w:val="ListNumber"/>
        <w:numPr>
          <w:ilvl w:val="0"/>
          <w:numId w:val="11"/>
        </w:numPr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检索返回稳定 ID 和 S3 引用，路径只是位置，不是数据身份；</w:t>
      </w:r>
    </w:p>
    <w:p>
      <w:pPr>
        <w:pStyle w:val="ListNumber"/>
        <w:numPr>
          <w:ilvl w:val="0"/>
          <w:numId w:val="11"/>
        </w:numPr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反馈不会直接覆盖已发布版本，而是形成新的加工结果和版本。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  <w:sz w:val="32"/>
        </w:rPr>
        <w:t>6. 数据分层与存储边界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6.1 S3 持久数据资产层</w:t>
      </w:r>
    </w:p>
    <w:p>
      <w:r>
        <w:rPr>
          <w:rFonts w:ascii="Microsoft YaHei" w:hAnsi="Microsoft YaHei" w:eastAsia="Microsoft YaHei"/>
          <w:color w:val="222222"/>
          <w:sz w:val="21"/>
        </w:rPr>
        <w:t>S3 在逻辑上划分为三个区域，物理隔离可以采用 Bucket、前缀或独立账号。</w:t>
      </w:r>
    </w:p>
    <w:p>
      <w:pPr>
        <w:pStyle w:val="Heading3"/>
      </w:pPr>
      <w:r>
        <w:rPr>
          <w:rFonts w:ascii="Microsoft YaHei" w:hAnsi="Microsoft YaHei" w:eastAsia="Microsoft YaHei"/>
          <w:color w:val="1F4D78"/>
          <w:sz w:val="23"/>
        </w:rPr>
        <w:t>Raw 区</w:t>
      </w:r>
    </w:p>
    <w:p>
      <w:r>
        <w:rPr>
          <w:rFonts w:ascii="Microsoft YaHei" w:hAnsi="Microsoft YaHei" w:eastAsia="Microsoft YaHei"/>
          <w:color w:val="222222"/>
          <w:sz w:val="21"/>
        </w:rPr>
        <w:t>保存数据进入平台时的原始状态：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图片、视频、音频、PDF、办公文档、压缩包；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外部 JSON、Parquet、清单和采集侧元数据；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来源、采集时间、内容 Hash、接入批次等基础信息；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必要的合规、保留和隔离标签。</w:t>
      </w:r>
    </w:p>
    <w:p>
      <w:r>
        <w:rPr>
          <w:rFonts w:ascii="Microsoft YaHei" w:hAnsi="Microsoft YaHei" w:eastAsia="Microsoft YaHei"/>
          <w:color w:val="222222"/>
          <w:sz w:val="21"/>
        </w:rPr>
        <w:t xml:space="preserve">Raw 数据原则上只追加、不覆盖。文件位置变化不改变 </w:t>
      </w:r>
      <w:r>
        <w:rPr>
          <w:rFonts w:ascii="Consolas" w:hAnsi="Consolas" w:eastAsia="Consolas"/>
          <w:color w:val="1F4D78"/>
          <w:sz w:val="20"/>
        </w:rPr>
        <w:t>asset_id</w:t>
      </w:r>
      <w:r>
        <w:rPr>
          <w:rFonts w:ascii="Microsoft YaHei" w:hAnsi="Microsoft YaHei" w:eastAsia="Microsoft YaHei"/>
          <w:color w:val="222222"/>
          <w:sz w:val="21"/>
        </w:rPr>
        <w:t>；内容变化形成新的不可变修订。</w:t>
      </w:r>
    </w:p>
    <w:p>
      <w:pPr>
        <w:pStyle w:val="Heading3"/>
      </w:pPr>
      <w:r>
        <w:rPr>
          <w:rFonts w:ascii="Microsoft YaHei" w:hAnsi="Microsoft YaHei" w:eastAsia="Microsoft YaHei"/>
          <w:color w:val="1F4D78"/>
          <w:sz w:val="23"/>
        </w:rPr>
        <w:t>标准化与派生区</w:t>
      </w:r>
    </w:p>
    <w:p>
      <w:r>
        <w:rPr>
          <w:rFonts w:ascii="Microsoft YaHei" w:hAnsi="Microsoft YaHei" w:eastAsia="Microsoft YaHei"/>
          <w:color w:val="222222"/>
          <w:sz w:val="21"/>
        </w:rPr>
        <w:t>保存由加工任务生成、可被复用的中间和最终结果：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文档解析文本、页面图片和布局信息；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图片 Caption、OCR、标签和质量分；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视频关键帧、镜头、时间片段、字幕和音轨引用；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音频 ASR、说话人片段和时间戳；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数据清洗、去重、标注、质检和增强结果；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Dense/Sparse Embedding 及模型版本；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任务中间清单、失败清单和校验结果。</w:t>
      </w:r>
    </w:p>
    <w:p>
      <w:r>
        <w:rPr>
          <w:rFonts w:ascii="Microsoft YaHei" w:hAnsi="Microsoft YaHei" w:eastAsia="Microsoft YaHei"/>
          <w:color w:val="222222"/>
          <w:sz w:val="21"/>
        </w:rPr>
        <w:t>派生资产以稳定 ID、输入版本、处理 Pipeline、模型版本和参数共同标识，允许跨数据集版本复用，避免重复计算。</w:t>
      </w:r>
    </w:p>
    <w:p>
      <w:pPr>
        <w:pStyle w:val="Heading3"/>
      </w:pPr>
      <w:r>
        <w:rPr>
          <w:rFonts w:ascii="Microsoft YaHei" w:hAnsi="Microsoft YaHei" w:eastAsia="Microsoft YaHei"/>
          <w:color w:val="1F4D78"/>
          <w:sz w:val="23"/>
        </w:rPr>
        <w:t>Dataset 版本区</w:t>
      </w:r>
    </w:p>
    <w:p>
      <w:r>
        <w:rPr>
          <w:rFonts w:ascii="Microsoft YaHei" w:hAnsi="Microsoft YaHei" w:eastAsia="Microsoft YaHei"/>
          <w:color w:val="222222"/>
          <w:sz w:val="21"/>
        </w:rPr>
        <w:t>保存可交付、可训练、可评测和可重建的固定数据版本：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标准化样本及其多模态关系；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版本固定的元数据、文本、标签、质量结果和 Embedding；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Schema 与字段语义版本；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Manifest、父版本、处理血缘、模型与参数；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行数、文件数、校验和、质量统计和异常摘要；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各在线投影的目标版本与构建水位。</w:t>
      </w:r>
    </w:p>
    <w:p>
      <w:r>
        <w:rPr>
          <w:rFonts w:ascii="Microsoft YaHei" w:hAnsi="Microsoft YaHei" w:eastAsia="Microsoft YaHei"/>
          <w:color w:val="222222"/>
          <w:sz w:val="21"/>
        </w:rPr>
        <w:t>本方案建议引入 Lance 格式与 SDK，作为 S3 上版本化 Dataset 的优先实现。Lance 用于组织标准化样本、多模态关系、文本、标签、质量结果和 Embedding，并利用快照、Fragment 复用和 Schema 演进能力降低自研版本管理的复杂度。</w:t>
      </w:r>
    </w:p>
    <w:p>
      <w:r>
        <w:rPr>
          <w:rFonts w:ascii="Microsoft YaHei" w:hAnsi="Microsoft YaHei" w:eastAsia="Microsoft YaHei"/>
          <w:color w:val="222222"/>
          <w:sz w:val="21"/>
        </w:rPr>
        <w:t>引入范围限定如下：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暂不部署 LanceDB Server，在线检索仍由 Doris/ClickHouse 承担；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图片、视频、音频、PDF 和压缩包等原始大文件继续作为普通对象保存在 S3，Lance 中保存稳定 ID、S3 URI、内容 Hash 和标准化属性；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文本、标签、质量结果、时间范围、多模态关系和 Embedding 等列式数据可以直接保存在 Lance；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Lance 不替代 PostgreSQL 中的权限、任务、审批、血缘和发布状态；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若 PoC 未通过，则回退到 Parquet + 受控 Manifest，稳定 ID、DatasetVersion、Projector 和发布协议保持不变。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6.2 Lance 与业务版本的关系</w:t>
      </w:r>
    </w:p>
    <w:p>
      <w:r>
        <w:rPr>
          <w:rFonts w:ascii="Microsoft YaHei" w:hAnsi="Microsoft YaHei" w:eastAsia="Microsoft YaHei"/>
          <w:color w:val="222222"/>
          <w:sz w:val="21"/>
        </w:rPr>
        <w:t>Lance 内部版本和 Camera DMP 的 DatasetVersion 分别处理物理快照与业务发布，两者不能直接画等号。</w:t>
      </w:r>
    </w:p>
    <w:p>
      <w:pPr>
        <w:spacing w:before="80" w:after="160" w:line="252" w:lineRule="auto"/>
        <w:ind w:left="216" w:right="216"/>
        <w:jc w:val="left"/>
        <w:shd w:fill="F3F4F6"/>
      </w:pPr>
      <w:r>
        <w:rPr>
          <w:rFonts w:ascii="Microsoft YaHei" w:hAnsi="Microsoft YaHei" w:eastAsia="Microsoft YaHei"/>
          <w:color w:val="263238"/>
          <w:sz w:val="17"/>
        </w:rPr>
        <w:t>DatasetVersion V2</w:t>
        <w:br/>
        <w:t>├── parent_version：V1</w:t>
        <w:br/>
        <w:t>├── lance_uri：s3://camera-dmp/datasets/night-road/data.lance</w:t>
        <w:br/>
        <w:t>├── lance_version：18</w:t>
        <w:br/>
        <w:t>├── schema_version：road-image-v3</w:t>
        <w:br/>
        <w:t>├── pipeline_run：run-20260813-001</w:t>
        <w:br/>
        <w:t>└── projection：Doris/ClickHouse 投影状态</w:t>
      </w:r>
    </w:p>
    <w:p>
      <w:r>
        <w:rPr>
          <w:rFonts w:ascii="Microsoft YaHei" w:hAnsi="Microsoft YaHei" w:eastAsia="Microsoft YaHei"/>
          <w:color w:val="222222"/>
          <w:sz w:val="21"/>
        </w:rPr>
        <w:t>构建 V2 时可以发生多次 Lance 内部提交，例如分批写入、补写失败数据和 Compaction；V2 最终只绑定经过校验的 Lance Version 18。中间提交属于构建过程，不直接对业务发布。</w:t>
      </w:r>
    </w:p>
    <w:p>
      <w:r>
        <w:rPr>
          <w:rFonts w:ascii="Microsoft YaHei" w:hAnsi="Microsoft YaHei" w:eastAsia="Microsoft YaHei"/>
          <w:color w:val="222222"/>
          <w:sz w:val="21"/>
        </w:rPr>
        <w:t>新增数据时，旧数据不移动也不复制。假设 V1 包含 A、B、C，V2 增加 D、E，Lance 可以复用旧 Fragment：</w:t>
      </w:r>
    </w:p>
    <w:p>
      <w:pPr>
        <w:spacing w:before="80" w:after="160" w:line="252" w:lineRule="auto"/>
        <w:ind w:left="216" w:right="216"/>
        <w:jc w:val="left"/>
        <w:shd w:fill="F3F4F6"/>
      </w:pPr>
      <w:r>
        <w:rPr>
          <w:rFonts w:ascii="Microsoft YaHei" w:hAnsi="Microsoft YaHei" w:eastAsia="Microsoft YaHei"/>
          <w:color w:val="263238"/>
          <w:sz w:val="17"/>
        </w:rPr>
        <w:t>Lance Version 17（对应 DatasetVersion V1）</w:t>
        <w:br/>
        <w:t>└── Fragment 1：A、B、C</w:t>
        <w:br/>
        <w:br/>
        <w:t>Lance Version 18（对应 DatasetVersion V2）</w:t>
        <w:br/>
        <w:t>├── Fragment 1：A、B、C</w:t>
        <w:br/>
        <w:t>└── Fragment 2：D、E</w:t>
      </w:r>
    </w:p>
    <w:p>
      <w:r>
        <w:rPr>
          <w:rFonts w:ascii="Microsoft YaHei" w:hAnsi="Microsoft YaHei" w:eastAsia="Microsoft YaHei"/>
          <w:color w:val="222222"/>
          <w:sz w:val="21"/>
        </w:rPr>
        <w:t>平台仍保留一份业务发布 Manifest，用于记录父版本、Lance 快照、Schema、Pipeline、模型、质量统计和在线投影。Lance 内部 Manifest 由 Lance SDK 管理 Fragment、列和事务快照，Camera DMP 不重复实现这部分能力。</w:t>
      </w:r>
    </w:p>
    <w:p>
      <w:r>
        <w:rPr>
          <w:rFonts w:ascii="Microsoft YaHei" w:hAnsi="Microsoft YaHei" w:eastAsia="Microsoft YaHei"/>
          <w:color w:val="222222"/>
          <w:sz w:val="21"/>
        </w:rPr>
        <w:t>业务发布 Manifest 可采用以下形式：</w:t>
      </w:r>
    </w:p>
    <w:p>
      <w:pPr>
        <w:spacing w:before="80" w:after="160" w:line="252" w:lineRule="auto"/>
        <w:ind w:left="216" w:right="216"/>
        <w:jc w:val="left"/>
        <w:shd w:fill="F3F4F6"/>
      </w:pPr>
      <w:r>
        <w:rPr>
          <w:rFonts w:ascii="Microsoft YaHei" w:hAnsi="Microsoft YaHei" w:eastAsia="Microsoft YaHei"/>
          <w:color w:val="263238"/>
          <w:sz w:val="17"/>
        </w:rPr>
        <w:t>{</w:t>
        <w:br/>
        <w:t xml:space="preserve">  "dataset_id": "night-road",</w:t>
        <w:br/>
        <w:t xml:space="preserve">  "version_id": "v2",</w:t>
        <w:br/>
        <w:t xml:space="preserve">  "parent_version_ids": ["v1"],</w:t>
        <w:br/>
        <w:t xml:space="preserve">  "data_snapshot": {</w:t>
        <w:br/>
        <w:t xml:space="preserve">    "format": "lance",</w:t>
        <w:br/>
        <w:t xml:space="preserve">    "uri": "s3://camera-dmp/datasets/night-road/data.lance",</w:t>
        <w:br/>
        <w:t xml:space="preserve">    "lance_version": 18</w:t>
        <w:br/>
        <w:t xml:space="preserve">  },</w:t>
        <w:br/>
        <w:t xml:space="preserve">  "schema_version": "road-image-v3",</w:t>
        <w:br/>
        <w:t xml:space="preserve">  "row_count": 100200,</w:t>
        <w:br/>
        <w:t xml:space="preserve">  "pipeline_run_id": "run-20260813-001",</w:t>
        <w:br/>
        <w:t xml:space="preserve">  "models": {</w:t>
        <w:br/>
        <w:t xml:space="preserve">    "caption": "caption-model-1.5",</w:t>
        <w:br/>
        <w:t xml:space="preserve">    "embedding": "clip-model-2.1"</w:t>
        <w:br/>
        <w:t xml:space="preserve">  },</w:t>
        <w:br/>
        <w:t xml:space="preserve">  "projection_targets": [</w:t>
        <w:br/>
        <w:t xml:space="preserve">    {</w:t>
        <w:br/>
        <w:t xml:space="preserve">      "engine": "doris",</w:t>
        <w:br/>
        <w:t xml:space="preserve">      "projection_id": "projection-108",</w:t>
        <w:br/>
        <w:t xml:space="preserve">      "status": "READY"</w:t>
        <w:br/>
        <w:t xml:space="preserve">    }</w:t>
        <w:br/>
        <w:t xml:space="preserve">  ]</w:t>
        <w:br/>
        <w:t>}</w:t>
      </w:r>
    </w:p>
    <w:p>
      <w:r>
        <w:rPr>
          <w:rFonts w:ascii="Microsoft YaHei" w:hAnsi="Microsoft YaHei" w:eastAsia="Microsoft YaHei"/>
          <w:color w:val="222222"/>
          <w:sz w:val="21"/>
        </w:rPr>
        <w:t>为避免大量小 Fragment，接入数据先按数量、大小或时间窗口形成批次，再由受控的 Dataset Writer 提交。多个 Worker 可以并行生成分片，但同一 Dataset 的提交应由单一协调者管理。生产环境还需固定经过验证的 Lance SDK 和文件格式版本，并设置 Compaction、版本保留和垃圾回收策略。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6.3 PostgreSQL 业务控制面</w:t>
      </w:r>
    </w:p>
    <w:p>
      <w:r>
        <w:rPr>
          <w:rFonts w:ascii="Microsoft YaHei" w:hAnsi="Microsoft YaHei" w:eastAsia="Microsoft YaHei"/>
          <w:color w:val="222222"/>
          <w:sz w:val="21"/>
        </w:rPr>
        <w:t>PostgreSQL 不保存大规模文件内容和大规模向量，主要保存：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App、用户、团队、权限、审批与安全分级；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Dataset 与 DatasetVersion 的业务身份；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版本状态、父子关系、当前发布指针和回滚指针；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数据资产、修订、片段和派生结果的登记信息；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Schema、字段定义、单位、命名空间和兼容策略；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加工任务、输入版本、输出版本、Pipeline 和模型版本；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Outbox 事件、Projector 任务、索引水位和失败状态；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数据保留、删除、审计和使用记录。</w:t>
      </w:r>
    </w:p>
    <w:p>
      <w:r>
        <w:rPr>
          <w:rFonts w:ascii="Microsoft YaHei" w:hAnsi="Microsoft YaHei" w:eastAsia="Microsoft YaHei"/>
          <w:color w:val="222222"/>
          <w:sz w:val="21"/>
        </w:rPr>
        <w:t>PostgreSQL 是业务状态的权威来源，但不是大规模成员明细和在线检索数据的主要承载者。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6.4 线下 Doris/ClickHouse 在线服务层</w:t>
      </w:r>
    </w:p>
    <w:p>
      <w:r>
        <w:rPr>
          <w:rFonts w:ascii="Microsoft YaHei" w:hAnsi="Microsoft YaHei" w:eastAsia="Microsoft YaHei"/>
          <w:color w:val="222222"/>
          <w:sz w:val="21"/>
        </w:rPr>
        <w:t>线下数据库允许保存：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稳定资产与片段 ID；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App、DatasetVersion、权限范围等在线过滤字段；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文件类型、时间、设备、地域、质量等高频结构化属性；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Caption、OCR、ASR、标签、文件名等可检索文本；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Dense/Sparse Embedding 及模型标识；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S3 URI、预览引用和必要的结果展示信息；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数据实体版本、删除标记和投影水位。</w:t>
      </w:r>
    </w:p>
    <w:p>
      <w:r>
        <w:rPr>
          <w:rFonts w:ascii="Microsoft YaHei" w:hAnsi="Microsoft YaHei" w:eastAsia="Microsoft YaHei"/>
          <w:color w:val="222222"/>
          <w:sz w:val="21"/>
        </w:rPr>
        <w:t>线下数据库不应成为以下内容的唯一保存位置：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原始多模态文件；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已发布数据集的唯一成员清单；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唯一一份 OCR、ASR、Caption 或 Embedding；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唯一的数据版本和处理血缘；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无法从 S3 版本资产恢复的业务事实。</w:t>
      </w:r>
    </w:p>
    <w:p>
      <w:r>
        <w:rPr>
          <w:rFonts w:ascii="Microsoft YaHei" w:hAnsi="Microsoft YaHei" w:eastAsia="Microsoft YaHei"/>
          <w:color w:val="222222"/>
          <w:sz w:val="21"/>
        </w:rPr>
        <w:t>在线服务数据可进一步按热度管理：当前发布版本和高频版本保留在线索引，低频历史版本按需保留或卸载；卸载不等于删除，仍可从 S3 固定版本重新投影。返回 S3 内容时由服务端进行权限复核并签发短时访问地址，不向调用方暴露长期凭据或不受控路径。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  <w:sz w:val="32"/>
        </w:rPr>
        <w:t>7. 统一多模态数据组织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7.1 统一身份层次</w:t>
      </w:r>
    </w:p>
    <w:p>
      <w:r>
        <w:rPr>
          <w:rFonts w:ascii="Microsoft YaHei" w:hAnsi="Microsoft YaHei" w:eastAsia="Microsoft YaHei"/>
          <w:color w:val="222222"/>
          <w:sz w:val="21"/>
        </w:rPr>
        <w:t>数据对象按以下层次组织，本阶段不展开完整字段设计：</w:t>
      </w:r>
    </w:p>
    <w:p>
      <w:pPr>
        <w:spacing w:before="80" w:after="160" w:line="252" w:lineRule="auto"/>
        <w:ind w:left="216" w:right="216"/>
        <w:jc w:val="left"/>
        <w:shd w:fill="F3F4F6"/>
      </w:pPr>
      <w:r>
        <w:rPr>
          <w:rFonts w:ascii="Microsoft YaHei" w:hAnsi="Microsoft YaHei" w:eastAsia="Microsoft YaHei"/>
          <w:color w:val="263238"/>
          <w:sz w:val="17"/>
        </w:rPr>
        <w:t>Asset                逻辑数据资产，如一个 PDF、一段视频或一张图片</w:t>
        <w:br/>
        <w:t xml:space="preserve">  └─ AssetRevision   该资产某次不可变内容修订</w:t>
        <w:br/>
        <w:t xml:space="preserve">       └─ Segment    可独立加工、检索和引用的单元</w:t>
        <w:br/>
        <w:t xml:space="preserve">            └─ Derivative / Embedding</w:t>
        <w:br/>
        <w:t xml:space="preserve">                     某次 Pipeline 或模型产生的文本、标签、特征与向量</w:t>
        <w:br/>
        <w:br/>
        <w:t>Dataset</w:t>
        <w:br/>
        <w:t xml:space="preserve">  └─ DatasetVersion  一组固定 AssetRevision / Segment 及其版本属性</w:t>
      </w:r>
    </w:p>
    <w:p>
      <w:r>
        <w:rPr>
          <w:rFonts w:ascii="Microsoft YaHei" w:hAnsi="Microsoft YaHei" w:eastAsia="Microsoft YaHei"/>
          <w:color w:val="222222"/>
          <w:sz w:val="21"/>
        </w:rPr>
        <w:t>典型映射如下：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62"/>
        <w:gridCol w:w="1762"/>
        <w:gridCol w:w="2335"/>
        <w:gridCol w:w="3501"/>
      </w:tblGrid>
      <w:tr>
        <w:trPr>
          <w:tblHeader w:val="true"/>
        </w:trPr>
        <w:tc>
          <w:tcPr>
            <w:tcW w:type="dxa" w:w="176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203748"/>
                <w:sz w:val="17"/>
              </w:rPr>
              <w:t>模态</w:t>
            </w:r>
          </w:p>
        </w:tc>
        <w:tc>
          <w:tcPr>
            <w:tcW w:type="dxa" w:w="176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203748"/>
                <w:sz w:val="17"/>
              </w:rPr>
              <w:t>Asset</w:t>
            </w:r>
          </w:p>
        </w:tc>
        <w:tc>
          <w:tcPr>
            <w:tcW w:type="dxa" w:w="23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203748"/>
                <w:sz w:val="17"/>
              </w:rPr>
              <w:t>Segment 示例</w:t>
            </w:r>
          </w:p>
        </w:tc>
        <w:tc>
          <w:tcPr>
            <w:tcW w:type="dxa" w:w="35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203748"/>
                <w:sz w:val="17"/>
              </w:rPr>
              <w:t>可检索派生内容</w:t>
            </w:r>
          </w:p>
        </w:tc>
      </w:tr>
      <w:tr>
        <w:tc>
          <w:tcPr>
            <w:tcW w:type="dxa" w:w="176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图片</w:t>
            </w:r>
          </w:p>
        </w:tc>
        <w:tc>
          <w:tcPr>
            <w:tcW w:type="dxa" w:w="176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原始图片</w:t>
            </w:r>
          </w:p>
        </w:tc>
        <w:tc>
          <w:tcPr>
            <w:tcW w:type="dxa" w:w="23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整图、检测框、裁剪区域</w:t>
            </w:r>
          </w:p>
        </w:tc>
        <w:tc>
          <w:tcPr>
            <w:tcW w:type="dxa" w:w="35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OCR、Caption、标签、视觉向量</w:t>
            </w:r>
          </w:p>
        </w:tc>
      </w:tr>
      <w:tr>
        <w:tc>
          <w:tcPr>
            <w:tcW w:type="dxa" w:w="176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视频</w:t>
            </w:r>
          </w:p>
        </w:tc>
        <w:tc>
          <w:tcPr>
            <w:tcW w:type="dxa" w:w="176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原始视频</w:t>
            </w:r>
          </w:p>
        </w:tc>
        <w:tc>
          <w:tcPr>
            <w:tcW w:type="dxa" w:w="23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镜头、时间片段、关键帧</w:t>
            </w:r>
          </w:p>
        </w:tc>
        <w:tc>
          <w:tcPr>
            <w:tcW w:type="dxa" w:w="35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ASR、Caption、事件标签、片段向量</w:t>
            </w:r>
          </w:p>
        </w:tc>
      </w:tr>
      <w:tr>
        <w:tc>
          <w:tcPr>
            <w:tcW w:type="dxa" w:w="176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音频</w:t>
            </w:r>
          </w:p>
        </w:tc>
        <w:tc>
          <w:tcPr>
            <w:tcW w:type="dxa" w:w="176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原始音频</w:t>
            </w:r>
          </w:p>
        </w:tc>
        <w:tc>
          <w:tcPr>
            <w:tcW w:type="dxa" w:w="23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时间片段、说话人片段</w:t>
            </w:r>
          </w:p>
        </w:tc>
        <w:tc>
          <w:tcPr>
            <w:tcW w:type="dxa" w:w="35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ASR、说话人、音频向量</w:t>
            </w:r>
          </w:p>
        </w:tc>
      </w:tr>
      <w:tr>
        <w:tc>
          <w:tcPr>
            <w:tcW w:type="dxa" w:w="176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文档</w:t>
            </w:r>
          </w:p>
        </w:tc>
        <w:tc>
          <w:tcPr>
            <w:tcW w:type="dxa" w:w="176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PDF/Office 文档</w:t>
            </w:r>
          </w:p>
        </w:tc>
        <w:tc>
          <w:tcPr>
            <w:tcW w:type="dxa" w:w="23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页面、段落、表格、图片</w:t>
            </w:r>
          </w:p>
        </w:tc>
        <w:tc>
          <w:tcPr>
            <w:tcW w:type="dxa" w:w="35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正文、版面、摘要、文本/图像向量</w:t>
            </w:r>
          </w:p>
        </w:tc>
      </w:tr>
      <w:tr>
        <w:tc>
          <w:tcPr>
            <w:tcW w:type="dxa" w:w="176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组合样本</w:t>
            </w:r>
          </w:p>
        </w:tc>
        <w:tc>
          <w:tcPr>
            <w:tcW w:type="dxa" w:w="176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业务逻辑样本</w:t>
            </w:r>
          </w:p>
        </w:tc>
        <w:tc>
          <w:tcPr>
            <w:tcW w:type="dxa" w:w="23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输入、参考、输出等角色成员</w:t>
            </w:r>
          </w:p>
        </w:tc>
        <w:tc>
          <w:tcPr>
            <w:tcW w:type="dxa" w:w="35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Prompt、标注、评分、多模态关系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7.2 统一检索记录</w:t>
      </w:r>
    </w:p>
    <w:p>
      <w:r>
        <w:rPr>
          <w:rFonts w:ascii="Microsoft YaHei" w:hAnsi="Microsoft YaHei" w:eastAsia="Microsoft YaHei"/>
          <w:color w:val="222222"/>
          <w:sz w:val="21"/>
        </w:rPr>
        <w:t>所有在线引擎接收同一类逻辑检索记录：</w:t>
      </w:r>
    </w:p>
    <w:p>
      <w:pPr>
        <w:spacing w:before="80" w:after="160" w:line="252" w:lineRule="auto"/>
        <w:ind w:left="216" w:right="216"/>
        <w:jc w:val="left"/>
        <w:shd w:fill="F3F4F6"/>
      </w:pPr>
      <w:r>
        <w:rPr>
          <w:rFonts w:ascii="Microsoft YaHei" w:hAnsi="Microsoft YaHei" w:eastAsia="Microsoft YaHei"/>
          <w:color w:val="263238"/>
          <w:sz w:val="17"/>
        </w:rPr>
        <w:t>SearchDocument</w:t>
        <w:br/>
        <w:t>├─ 稳定身份：asset_id / revision_id / segment_id</w:t>
        <w:br/>
        <w:t>├─ 业务范围：app / dataset / dataset_version / permission_scope</w:t>
        <w:br/>
        <w:t>├─ 模态关系：media_type / segment_type / parent / role</w:t>
        <w:br/>
        <w:t>├─ 内容引用：S3 URI / preview reference</w:t>
        <w:br/>
        <w:t>├─ 可检索文本：title / caption / OCR / ASR / tags / business text</w:t>
        <w:br/>
        <w:t>├─ 结构化属性：时间 / 设备 / 地域 / 质量 / 状态 / 来源</w:t>
        <w:br/>
        <w:t>├─ 向量：embedding + model/version/dimension</w:t>
        <w:br/>
        <w:t>└─ 投影控制：entity_version / is_deleted / published_version</w:t>
      </w:r>
    </w:p>
    <w:p>
      <w:r>
        <w:rPr>
          <w:rFonts w:ascii="Microsoft YaHei" w:hAnsi="Microsoft YaHei" w:eastAsia="Microsoft YaHei"/>
          <w:color w:val="222222"/>
          <w:sz w:val="21"/>
        </w:rPr>
        <w:t>高频过滤字段应受 Schema 管理并进入正式列；长尾属性可以保留在 JSON、VARIANT 或 Map 类型中，但不得无限制扩张为无语义约束的 KV 集合。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7.3 Schema 与多模态关系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核心字段具有统一名称、类型、单位和含义；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来源特有字段进入命名空间，避免同名覆盖；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一个样本包含多张图片、文本和标签时，应显式记录角色关系；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视频片段、关键帧、ASR 和 Caption 必须携带父资产与时间范围；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Embedding 必须绑定 Segment、模型版本、维度和归一化方式；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Pipeline 或模型升级不覆盖旧结果，而是生成新的派生版本；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Schema 不兼容变更形成新 SchemaVersion，并通过转换任务迁移。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  <w:sz w:val="32"/>
        </w:rPr>
        <w:t>8. 数据生命周期与关键流程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8.1 接入与登记</w:t>
      </w:r>
    </w:p>
    <w:p>
      <w:pPr>
        <w:pStyle w:val="ListNumber"/>
        <w:numPr>
          <w:ilvl w:val="0"/>
          <w:numId w:val="12"/>
        </w:numPr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调用方提交文件或外部 S3 引用及基础元数据；</w:t>
      </w:r>
    </w:p>
    <w:p>
      <w:pPr>
        <w:pStyle w:val="ListNumber"/>
        <w:numPr>
          <w:ilvl w:val="0"/>
          <w:numId w:val="12"/>
        </w:numPr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原始对象写入 Raw 区，计算内容 Hash；</w:t>
      </w:r>
    </w:p>
    <w:p>
      <w:pPr>
        <w:pStyle w:val="ListNumber"/>
        <w:numPr>
          <w:ilvl w:val="0"/>
          <w:numId w:val="12"/>
        </w:numPr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PostgreSQL 分配稳定资产 ID，记录来源、租户和接入批次；</w:t>
      </w:r>
    </w:p>
    <w:p>
      <w:pPr>
        <w:pStyle w:val="ListNumber"/>
        <w:numPr>
          <w:ilvl w:val="0"/>
          <w:numId w:val="12"/>
        </w:numPr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同一事务中写入业务状态与 Outbox 事件；</w:t>
      </w:r>
    </w:p>
    <w:p>
      <w:pPr>
        <w:pStyle w:val="ListNumber"/>
        <w:numPr>
          <w:ilvl w:val="0"/>
          <w:numId w:val="12"/>
        </w:numPr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事件投递到队列，启动异步解析；</w:t>
      </w:r>
    </w:p>
    <w:p>
      <w:pPr>
        <w:pStyle w:val="ListNumber"/>
        <w:numPr>
          <w:ilvl w:val="0"/>
          <w:numId w:val="12"/>
        </w:numPr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重复事件以资产 ID、修订 ID 和任务版本幂等处理。</w:t>
      </w:r>
    </w:p>
    <w:p>
      <w:r>
        <w:rPr>
          <w:rFonts w:ascii="Microsoft YaHei" w:hAnsi="Microsoft YaHei" w:eastAsia="Microsoft YaHei"/>
          <w:color w:val="222222"/>
          <w:sz w:val="21"/>
        </w:rPr>
        <w:t>对象存储事件可以作为触发信号，但不能作为唯一业务事实。平台应通过 Outbox、扫描对账或受控接入 API 保证“文件已存在”和“业务已登记”最终一致。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8.2 多模态加工</w:t>
      </w:r>
    </w:p>
    <w:p>
      <w:pPr>
        <w:pStyle w:val="ListNumber"/>
        <w:numPr>
          <w:ilvl w:val="0"/>
          <w:numId w:val="13"/>
        </w:numPr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Worker 按模态选择解析 Pipeline；</w:t>
      </w:r>
    </w:p>
    <w:p>
      <w:pPr>
        <w:pStyle w:val="ListNumber"/>
        <w:numPr>
          <w:ilvl w:val="0"/>
          <w:numId w:val="13"/>
        </w:numPr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读取 Raw 对象，生成标准化 Segment；</w:t>
      </w:r>
    </w:p>
    <w:p>
      <w:pPr>
        <w:pStyle w:val="ListNumber"/>
        <w:numPr>
          <w:ilvl w:val="0"/>
          <w:numId w:val="13"/>
        </w:numPr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执行清洗、去重、格式转换和基础质量校验；</w:t>
      </w:r>
    </w:p>
    <w:p>
      <w:pPr>
        <w:pStyle w:val="ListNumber"/>
        <w:numPr>
          <w:ilvl w:val="0"/>
          <w:numId w:val="13"/>
        </w:numPr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调用 OCR、ASR、Caption、检测、质量模型等服务；</w:t>
      </w:r>
    </w:p>
    <w:p>
      <w:pPr>
        <w:pStyle w:val="ListNumber"/>
        <w:numPr>
          <w:ilvl w:val="0"/>
          <w:numId w:val="13"/>
        </w:numPr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Embedding 服务按指定模型批量生成向量；</w:t>
      </w:r>
    </w:p>
    <w:p>
      <w:pPr>
        <w:pStyle w:val="ListNumber"/>
        <w:numPr>
          <w:ilvl w:val="0"/>
          <w:numId w:val="13"/>
        </w:numPr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结果写入 S3 派生区，并登记输入、输出、模型与参数；</w:t>
      </w:r>
    </w:p>
    <w:p>
      <w:pPr>
        <w:pStyle w:val="ListNumber"/>
        <w:numPr>
          <w:ilvl w:val="0"/>
          <w:numId w:val="13"/>
        </w:numPr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失败任务保留检查点，可按分片重试而不重做全部数据。</w:t>
      </w:r>
    </w:p>
    <w:p>
      <w:r>
        <w:rPr>
          <w:rFonts w:ascii="Microsoft YaHei" w:hAnsi="Microsoft YaHei" w:eastAsia="Microsoft YaHei"/>
          <w:color w:val="222222"/>
          <w:sz w:val="21"/>
        </w:rPr>
        <w:t>Celery 可以继续承担第一阶段的任务编排，但应逐步从“全局串行防冲突”改为“按数据版本和分片并行 + 幂等写入 + 乐观水位控制”。当批处理规模超过 Celery/单机 Polars 的稳定边界时，再引入 Ray、Spark 或其他分布式计算，不将其作为初版前置条件。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8.3 DatasetVersion 构建与发布</w:t>
      </w:r>
    </w:p>
    <w:p>
      <w:r>
        <w:rPr>
          <w:rFonts w:ascii="Microsoft YaHei" w:hAnsi="Microsoft YaHei" w:eastAsia="Microsoft YaHei"/>
          <w:color w:val="222222"/>
          <w:sz w:val="21"/>
        </w:rPr>
        <w:t>版本状态如下：</w:t>
      </w:r>
    </w:p>
    <w:p>
      <w:pPr>
        <w:spacing w:before="80" w:after="160" w:line="252" w:lineRule="auto"/>
        <w:ind w:left="216" w:right="216"/>
        <w:jc w:val="left"/>
        <w:shd w:fill="F3F4F6"/>
      </w:pPr>
      <w:r>
        <w:rPr>
          <w:rFonts w:ascii="Microsoft YaHei" w:hAnsi="Microsoft YaHei" w:eastAsia="Microsoft YaHei"/>
          <w:color w:val="263238"/>
          <w:sz w:val="17"/>
        </w:rPr>
        <w:t>DRAFT → BUILDING → VALIDATING → READY → PUBLISHING → PUBLISHED</w:t>
        <w:br/>
        <w:t xml:space="preserve">               └→ FAILED          └──────────────→ FAILED</w:t>
        <w:br/>
        <w:t>PUBLISHED → DEPRECATED → DELETING → DELETED</w:t>
      </w:r>
    </w:p>
    <w:p>
      <w:r>
        <w:rPr>
          <w:rFonts w:ascii="Microsoft YaHei" w:hAnsi="Microsoft YaHei" w:eastAsia="Microsoft YaHei"/>
          <w:color w:val="222222"/>
          <w:sz w:val="21"/>
        </w:rPr>
        <w:t>发布步骤：</w:t>
      </w:r>
    </w:p>
    <w:p>
      <w:pPr>
        <w:pStyle w:val="ListNumber"/>
        <w:numPr>
          <w:ilvl w:val="0"/>
          <w:numId w:val="14"/>
        </w:numPr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创建版本时固定输入 DatasetVersion、SchemaVersion、Pipeline 和模型版本；</w:t>
      </w:r>
    </w:p>
    <w:p>
      <w:pPr>
        <w:pStyle w:val="ListNumber"/>
        <w:numPr>
          <w:ilvl w:val="0"/>
          <w:numId w:val="14"/>
        </w:numPr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构建过程中写入标准化资产和成员关系；</w:t>
      </w:r>
    </w:p>
    <w:p>
      <w:pPr>
        <w:pStyle w:val="ListNumber"/>
        <w:numPr>
          <w:ilvl w:val="0"/>
          <w:numId w:val="14"/>
        </w:numPr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校验文件可读性、稳定 ID、Schema、多模态关系、向量维度和成员数量；</w:t>
      </w:r>
    </w:p>
    <w:p>
      <w:pPr>
        <w:pStyle w:val="ListNumber"/>
        <w:numPr>
          <w:ilvl w:val="0"/>
          <w:numId w:val="14"/>
        </w:numPr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生成不可变 Manifest，并冻结 S3 数据版本；</w:t>
      </w:r>
    </w:p>
    <w:p>
      <w:pPr>
        <w:pStyle w:val="ListNumber"/>
        <w:numPr>
          <w:ilvl w:val="0"/>
          <w:numId w:val="14"/>
        </w:numPr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 xml:space="preserve">版本进入 </w:t>
      </w:r>
      <w:r>
        <w:rPr>
          <w:rFonts w:ascii="Consolas" w:hAnsi="Consolas" w:eastAsia="Consolas"/>
          <w:color w:val="1F4D78"/>
          <w:sz w:val="20"/>
        </w:rPr>
        <w:t>READY</w:t>
      </w:r>
      <w:r>
        <w:rPr>
          <w:rFonts w:ascii="Microsoft YaHei" w:hAnsi="Microsoft YaHei" w:eastAsia="Microsoft YaHei"/>
          <w:color w:val="222222"/>
          <w:sz w:val="21"/>
        </w:rPr>
        <w:t>，生成目标在线投影任务；</w:t>
      </w:r>
    </w:p>
    <w:p>
      <w:pPr>
        <w:pStyle w:val="ListNumber"/>
        <w:numPr>
          <w:ilvl w:val="0"/>
          <w:numId w:val="14"/>
        </w:numPr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Projector 将该版本幂等写入 Doris/ClickHouse；</w:t>
      </w:r>
    </w:p>
    <w:p>
      <w:pPr>
        <w:pStyle w:val="ListNumber"/>
        <w:numPr>
          <w:ilvl w:val="0"/>
          <w:numId w:val="14"/>
        </w:numPr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数据库索引达到目标水位后执行抽样对账和查询验收；</w:t>
      </w:r>
    </w:p>
    <w:p>
      <w:pPr>
        <w:pStyle w:val="ListNumber"/>
        <w:numPr>
          <w:ilvl w:val="0"/>
          <w:numId w:val="14"/>
        </w:numPr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 xml:space="preserve">PostgreSQL 原子切换当前发布指针，版本进入 </w:t>
      </w:r>
      <w:r>
        <w:rPr>
          <w:rFonts w:ascii="Consolas" w:hAnsi="Consolas" w:eastAsia="Consolas"/>
          <w:color w:val="1F4D78"/>
          <w:sz w:val="20"/>
        </w:rPr>
        <w:t>PUBLISHED</w:t>
      </w:r>
      <w:r>
        <w:rPr>
          <w:rFonts w:ascii="Microsoft YaHei" w:hAnsi="Microsoft YaHei" w:eastAsia="Microsoft YaHei"/>
          <w:color w:val="222222"/>
          <w:sz w:val="21"/>
        </w:rPr>
        <w:t>；</w:t>
      </w:r>
    </w:p>
    <w:p>
      <w:pPr>
        <w:pStyle w:val="ListNumber"/>
        <w:numPr>
          <w:ilvl w:val="0"/>
          <w:numId w:val="14"/>
        </w:numPr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Search API 只查询已发布水位的数据。</w:t>
      </w:r>
    </w:p>
    <w:p>
      <w:r>
        <w:rPr>
          <w:rFonts w:ascii="Microsoft YaHei" w:hAnsi="Microsoft YaHei" w:eastAsia="Microsoft YaHei"/>
          <w:color w:val="222222"/>
          <w:sz w:val="21"/>
        </w:rPr>
        <w:t>任何内容、标签、质量结果或 Embedding 变化都创建新版本或新的派生结果，不原地修改已发布版本。回滚通过切换发布指针完成。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8.4 在线检索</w:t>
      </w:r>
    </w:p>
    <w:p>
      <w:pPr>
        <w:spacing w:before="80" w:after="160" w:line="252" w:lineRule="auto"/>
        <w:ind w:left="216" w:right="216"/>
        <w:jc w:val="left"/>
        <w:shd w:fill="F3F4F6"/>
      </w:pPr>
      <w:r>
        <w:rPr>
          <w:rFonts w:ascii="Microsoft YaHei" w:hAnsi="Microsoft YaHei" w:eastAsia="Microsoft YaHei"/>
          <w:color w:val="263238"/>
          <w:sz w:val="17"/>
        </w:rPr>
        <w:t>查询请求</w:t>
        <w:br/>
        <w:t xml:space="preserve">  ↓</w:t>
        <w:br/>
        <w:t>身份认证、App/DatasetVersion 与权限范围解析</w:t>
        <w:br/>
        <w:t xml:space="preserve">  ↓</w:t>
        <w:br/>
        <w:t>文本或图片查询向量化</w:t>
        <w:br/>
        <w:t xml:space="preserve">  ↓</w:t>
        <w:br/>
        <w:t>结构化条件编译</w:t>
        <w:br/>
        <w:t xml:space="preserve">  ↓</w:t>
        <w:br/>
        <w:t>全文候选 + 向量候选 + 必要的结构化预过滤</w:t>
        <w:br/>
        <w:t xml:space="preserve">  ↓</w:t>
        <w:br/>
        <w:t>RRF 或经验证的融合排序</w:t>
        <w:br/>
        <w:t xml:space="preserve">  ↓</w:t>
        <w:br/>
        <w:t>按稳定 ID 去重、权限复核与分页</w:t>
        <w:br/>
        <w:t xml:space="preserve">  ↓</w:t>
        <w:br/>
        <w:t>返回 Segment 内容、Asset 信息、S3 引用与数据版本</w:t>
      </w:r>
    </w:p>
    <w:p>
      <w:r>
        <w:rPr>
          <w:rFonts w:ascii="Microsoft YaHei" w:hAnsi="Microsoft YaHei" w:eastAsia="Microsoft YaHei"/>
          <w:color w:val="222222"/>
          <w:sz w:val="21"/>
        </w:rPr>
        <w:t>Search API 对上层屏蔽 Doris 与 ClickHouse 的 SQL 差异，并统一：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结构化过滤；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关键词/全文检索；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文本搜图、以图搜图及后续跨模态检索；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数据集版本和权限范围；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召回融合、去重和稳定分页；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查询向量模型选择；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结果中的稳定 ID、版本和内容引用。</w:t>
      </w:r>
    </w:p>
    <w:p>
      <w:r>
        <w:rPr>
          <w:rFonts w:ascii="Microsoft YaHei" w:hAnsi="Microsoft YaHei" w:eastAsia="Microsoft YaHei"/>
          <w:color w:val="222222"/>
          <w:sz w:val="21"/>
        </w:rPr>
        <w:t>查询规则以版本化的“检索策略”管理，其中包括结构化、全文和向量各路的候选深度，预过滤或后过滤方式，RRF 或加权融合、跨模态权重、重排以及片段向资产聚合规则。引擎能力和检索策略由此可以分别评估，“混合检索”也不再被简化为某一个固定算子。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8.5 反馈与再生产</w:t>
      </w:r>
    </w:p>
    <w:p>
      <w:r>
        <w:rPr>
          <w:rFonts w:ascii="Microsoft YaHei" w:hAnsi="Microsoft YaHei" w:eastAsia="Microsoft YaHei"/>
          <w:color w:val="222222"/>
          <w:sz w:val="21"/>
        </w:rPr>
        <w:t>搜索点击、人工标注、质检结果、模型误差和业务使用结果应回写为新的事实记录，并绑定原始 Segment 与已使用的数据版本。反馈经审核后可以触发：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标签或质量结果修订；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新模型重新生成 Caption/Embedding；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困难样本集或评测集构建；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数据清洗规则优化；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新 DatasetVersion 发布。</w:t>
      </w:r>
    </w:p>
    <w:p>
      <w:r>
        <w:rPr>
          <w:rFonts w:ascii="Microsoft YaHei" w:hAnsi="Microsoft YaHei" w:eastAsia="Microsoft YaHei"/>
          <w:color w:val="222222"/>
          <w:sz w:val="21"/>
        </w:rPr>
        <w:t>反馈闭环不直接修改旧版本，从而保持训练、评测和历史查询的可解释性。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8.6 删除与保留</w:t>
      </w:r>
    </w:p>
    <w:p>
      <w:r>
        <w:rPr>
          <w:rFonts w:ascii="Microsoft YaHei" w:hAnsi="Microsoft YaHei" w:eastAsia="Microsoft YaHei"/>
          <w:color w:val="222222"/>
          <w:sz w:val="21"/>
        </w:rPr>
        <w:t>删除分为三个阶段：</w:t>
      </w:r>
    </w:p>
    <w:p>
      <w:pPr>
        <w:pStyle w:val="ListNumber"/>
        <w:numPr>
          <w:ilvl w:val="0"/>
          <w:numId w:val="15"/>
        </w:numPr>
        <w:spacing w:after="80" w:line="290" w:lineRule="auto"/>
        <w:ind w:left="547" w:hanging="274"/>
      </w:pPr>
      <w:r>
        <w:rPr>
          <w:rFonts w:ascii="Microsoft YaHei" w:hAnsi="Microsoft YaHei" w:eastAsia="Microsoft YaHei"/>
          <w:b/>
          <w:color w:val="222222"/>
          <w:sz w:val="21"/>
        </w:rPr>
        <w:t>撤销可见性</w:t>
      </w:r>
      <w:r>
        <w:rPr>
          <w:rFonts w:ascii="Microsoft YaHei" w:hAnsi="Microsoft YaHei" w:eastAsia="Microsoft YaHei"/>
          <w:color w:val="222222"/>
          <w:sz w:val="21"/>
        </w:rPr>
        <w:t>：控制面将资产或版本标记为不可用，Search API 不再返回；</w:t>
      </w:r>
    </w:p>
    <w:p>
      <w:pPr>
        <w:pStyle w:val="ListNumber"/>
        <w:numPr>
          <w:ilvl w:val="0"/>
          <w:numId w:val="15"/>
        </w:numPr>
        <w:spacing w:after="80" w:line="290" w:lineRule="auto"/>
        <w:ind w:left="547" w:hanging="274"/>
      </w:pPr>
      <w:r>
        <w:rPr>
          <w:rFonts w:ascii="Microsoft YaHei" w:hAnsi="Microsoft YaHei" w:eastAsia="Microsoft YaHei"/>
          <w:b/>
          <w:color w:val="222222"/>
          <w:sz w:val="21"/>
        </w:rPr>
        <w:t>传播墓碑</w:t>
      </w:r>
      <w:r>
        <w:rPr>
          <w:rFonts w:ascii="Microsoft YaHei" w:hAnsi="Microsoft YaHei" w:eastAsia="Microsoft YaHei"/>
          <w:color w:val="222222"/>
          <w:sz w:val="21"/>
        </w:rPr>
        <w:t>：Projector 将删除标记写入在线数据库并确认水位；</w:t>
      </w:r>
    </w:p>
    <w:p>
      <w:pPr>
        <w:pStyle w:val="ListNumber"/>
        <w:numPr>
          <w:ilvl w:val="0"/>
          <w:numId w:val="15"/>
        </w:numPr>
        <w:spacing w:after="80" w:line="290" w:lineRule="auto"/>
        <w:ind w:left="547" w:hanging="274"/>
      </w:pPr>
      <w:r>
        <w:rPr>
          <w:rFonts w:ascii="Microsoft YaHei" w:hAnsi="Microsoft YaHei" w:eastAsia="Microsoft YaHei"/>
          <w:b/>
          <w:color w:val="222222"/>
          <w:sz w:val="21"/>
        </w:rPr>
        <w:t>物理回收</w:t>
      </w:r>
      <w:r>
        <w:rPr>
          <w:rFonts w:ascii="Microsoft YaHei" w:hAnsi="Microsoft YaHei" w:eastAsia="Microsoft YaHei"/>
          <w:color w:val="222222"/>
          <w:sz w:val="21"/>
        </w:rPr>
        <w:t>：满足保留期、血缘引用和审计要求后，回收数据库数据、派生文件和原始 Blob。</w:t>
      </w:r>
    </w:p>
    <w:p>
      <w:r>
        <w:rPr>
          <w:rFonts w:ascii="Microsoft YaHei" w:hAnsi="Microsoft YaHei" w:eastAsia="Microsoft YaHei"/>
          <w:color w:val="222222"/>
          <w:sz w:val="21"/>
        </w:rPr>
        <w:t>任何仍被有效 DatasetVersion、训练记录、交付记录或合规保留策略引用的数据不得直接物理删除。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  <w:sz w:val="32"/>
        </w:rPr>
        <w:t>9. 事实层、投影层与一致性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9.1 权威来源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358"/>
        <w:gridCol w:w="5002"/>
      </w:tblGrid>
      <w:tr>
        <w:trPr>
          <w:tblHeader w:val="true"/>
        </w:trPr>
        <w:tc>
          <w:tcPr>
            <w:tcW w:type="dxa" w:w="43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信息</w:t>
            </w:r>
          </w:p>
        </w:tc>
        <w:tc>
          <w:tcPr>
            <w:tcW w:type="dxa" w:w="50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权威来源</w:t>
            </w:r>
          </w:p>
        </w:tc>
      </w:tr>
      <w:tr>
        <w:tc>
          <w:tcPr>
            <w:tcW w:type="dxa" w:w="43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用户、权限、版本状态、发布指针</w:t>
            </w:r>
          </w:p>
        </w:tc>
        <w:tc>
          <w:tcPr>
            <w:tcW w:type="dxa" w:w="50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PostgreSQL</w:t>
            </w:r>
          </w:p>
        </w:tc>
      </w:tr>
      <w:tr>
        <w:tc>
          <w:tcPr>
            <w:tcW w:type="dxa" w:w="43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原始多模态内容</w:t>
            </w:r>
          </w:p>
        </w:tc>
        <w:tc>
          <w:tcPr>
            <w:tcW w:type="dxa" w:w="50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S3 Raw 区</w:t>
            </w:r>
          </w:p>
        </w:tc>
      </w:tr>
      <w:tr>
        <w:tc>
          <w:tcPr>
            <w:tcW w:type="dxa" w:w="43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已冻结标准化样本和派生数据版本</w:t>
            </w:r>
          </w:p>
        </w:tc>
        <w:tc>
          <w:tcPr>
            <w:tcW w:type="dxa" w:w="50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S3 Dataset 版本区</w:t>
            </w:r>
          </w:p>
        </w:tc>
      </w:tr>
      <w:tr>
        <w:tc>
          <w:tcPr>
            <w:tcW w:type="dxa" w:w="43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在线过滤、全文、向量索引</w:t>
            </w:r>
          </w:p>
        </w:tc>
        <w:tc>
          <w:tcPr>
            <w:tcW w:type="dxa" w:w="50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Doris/ClickHouse 投影</w:t>
            </w:r>
          </w:p>
        </w:tc>
      </w:tr>
      <w:tr>
        <w:tc>
          <w:tcPr>
            <w:tcW w:type="dxa" w:w="43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任务运行日志与指标</w:t>
            </w:r>
          </w:p>
        </w:tc>
        <w:tc>
          <w:tcPr>
            <w:tcW w:type="dxa" w:w="50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日志和监控系统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color w:val="222222"/>
          <w:sz w:val="21"/>
        </w:rPr>
        <w:t>同一信息可以存在多个副本；表中“权威来源”是指发生冲突或执行重建时采用的依据。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9.2 发布一致性</w:t>
      </w:r>
    </w:p>
    <w:p>
      <w:r>
        <w:rPr>
          <w:rFonts w:ascii="Microsoft YaHei" w:hAnsi="Microsoft YaHei" w:eastAsia="Microsoft YaHei"/>
          <w:color w:val="222222"/>
          <w:sz w:val="21"/>
        </w:rPr>
        <w:t>不采用跨 PostgreSQL、S3 和数据库的分布式事务，而采用版本状态机、幂等投影和水位提交：</w:t>
      </w:r>
    </w:p>
    <w:p>
      <w:pPr>
        <w:spacing w:before="80" w:after="160" w:line="252" w:lineRule="auto"/>
        <w:ind w:left="216" w:right="216"/>
        <w:jc w:val="left"/>
        <w:shd w:fill="F3F4F6"/>
      </w:pPr>
      <w:r>
        <w:rPr>
          <w:rFonts w:ascii="Microsoft YaHei" w:hAnsi="Microsoft YaHei" w:eastAsia="Microsoft YaHei"/>
          <w:color w:val="263238"/>
          <w:sz w:val="17"/>
        </w:rPr>
        <w:t>冻结 S3 版本</w:t>
        <w:br/>
        <w:t xml:space="preserve">  → 写入发布事件</w:t>
        <w:br/>
        <w:t xml:space="preserve">  → Projector 幂等构建在线投影</w:t>
        <w:br/>
        <w:t xml:space="preserve">  → 记录数据库水位</w:t>
        <w:br/>
        <w:t xml:space="preserve">  → 对账与验收</w:t>
        <w:br/>
        <w:t xml:space="preserve">  → 原子切换发布指针</w:t>
      </w:r>
    </w:p>
    <w:p>
      <w:r>
        <w:rPr>
          <w:rFonts w:ascii="Microsoft YaHei" w:hAnsi="Microsoft YaHei" w:eastAsia="Microsoft YaHei"/>
          <w:color w:val="222222"/>
          <w:sz w:val="21"/>
        </w:rPr>
        <w:t xml:space="preserve">在发布指针切换前，新版本即使部分数据已经进入数据库，也不能被普通查询看到。可采用 </w:t>
      </w:r>
      <w:r>
        <w:rPr>
          <w:rFonts w:ascii="Consolas" w:hAnsi="Consolas" w:eastAsia="Consolas"/>
          <w:color w:val="1F4D78"/>
          <w:sz w:val="20"/>
        </w:rPr>
        <w:t>published_version</w:t>
      </w:r>
      <w:r>
        <w:rPr>
          <w:rFonts w:ascii="Microsoft YaHei" w:hAnsi="Microsoft YaHei" w:eastAsia="Microsoft YaHei"/>
          <w:color w:val="222222"/>
          <w:sz w:val="21"/>
        </w:rPr>
        <w:t>、别名、逻辑视图或版本过滤实现这一可见性边界。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9.3 Projector 契约</w:t>
      </w:r>
    </w:p>
    <w:p>
      <w:r>
        <w:rPr>
          <w:rFonts w:ascii="Microsoft YaHei" w:hAnsi="Microsoft YaHei" w:eastAsia="Microsoft YaHei"/>
          <w:color w:val="222222"/>
          <w:sz w:val="21"/>
        </w:rPr>
        <w:t>Projector 是资产层到在线服务层的唯一标准写入通道，应具备：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以 DatasetVersion 和分片为输入；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 xml:space="preserve">读取固定 Manifest，不读取动态 </w:t>
      </w:r>
      <w:r>
        <w:rPr>
          <w:rFonts w:ascii="Consolas" w:hAnsi="Consolas" w:eastAsia="Consolas"/>
          <w:color w:val="1F4D78"/>
          <w:sz w:val="20"/>
        </w:rPr>
        <w:t>latest</w:t>
      </w:r>
      <w:r>
        <w:rPr>
          <w:rFonts w:ascii="Microsoft YaHei" w:hAnsi="Microsoft YaHei" w:eastAsia="Microsoft YaHei"/>
          <w:color w:val="222222"/>
          <w:sz w:val="21"/>
        </w:rPr>
        <w:t>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 xml:space="preserve">按 </w:t>
      </w:r>
      <w:r>
        <w:rPr>
          <w:rFonts w:ascii="Consolas" w:hAnsi="Consolas" w:eastAsia="Consolas"/>
          <w:color w:val="1F4D78"/>
          <w:sz w:val="20"/>
        </w:rPr>
        <w:t>segment_id + entity_version</w:t>
      </w:r>
      <w:r>
        <w:rPr>
          <w:rFonts w:ascii="Microsoft YaHei" w:hAnsi="Microsoft YaHei" w:eastAsia="Microsoft YaHei"/>
          <w:color w:val="222222"/>
          <w:sz w:val="21"/>
        </w:rPr>
        <w:t xml:space="preserve"> 幂等写入；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保护乱序事件，旧版本不得覆盖新版本；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记录读取、写入、失败、跳过和删除数量；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支持断点续写、死信、重放和限速；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输出索引水位与校验摘要；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同一输入可投影到 Doris 或 ClickHouse；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支持按 App、DatasetVersion 或时间范围重建。</w:t>
      </w:r>
    </w:p>
    <w:p>
      <w:r>
        <w:rPr>
          <w:rFonts w:ascii="Microsoft YaHei" w:hAnsi="Microsoft YaHei" w:eastAsia="Microsoft YaHei"/>
          <w:color w:val="222222"/>
          <w:sz w:val="21"/>
        </w:rPr>
        <w:t>每次投影应形成独立的 Projection 记录，至少标识来源数据版本、目标引擎、目标 Schema、索引配置版本、构建状态、预期与实际数量、校验摘要和最后水位。索引本身也应区分待构建、构建中、可用、过期和失败，避免“数据写入成功”被误判为“已经可检索”。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9.4 对账与重建</w:t>
      </w:r>
    </w:p>
    <w:p>
      <w:r>
        <w:rPr>
          <w:rFonts w:ascii="Microsoft YaHei" w:hAnsi="Microsoft YaHei" w:eastAsia="Microsoft YaHei"/>
          <w:color w:val="222222"/>
          <w:sz w:val="21"/>
        </w:rPr>
        <w:t>平台应持续执行三类对账：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控制面对 S3：版本记录、Manifest、成员数量和对象存在性；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S3 对在线数据库：版本水位、行数、删除数、抽样 Hash 和向量模型；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在线数据库对 Search API：权限、过滤、全文、向量和结果引用可用性。</w:t>
      </w:r>
    </w:p>
    <w:p>
      <w:r>
        <w:rPr>
          <w:rFonts w:ascii="Microsoft YaHei" w:hAnsi="Microsoft YaHei" w:eastAsia="Microsoft YaHei"/>
          <w:color w:val="222222"/>
          <w:sz w:val="21"/>
        </w:rPr>
        <w:t>在线数据库损坏、迁移或索引策略变化时，重建流程为：</w:t>
      </w:r>
    </w:p>
    <w:p>
      <w:pPr>
        <w:spacing w:before="80" w:after="160" w:line="252" w:lineRule="auto"/>
        <w:ind w:left="216" w:right="216"/>
        <w:jc w:val="left"/>
        <w:shd w:fill="F3F4F6"/>
      </w:pPr>
      <w:r>
        <w:rPr>
          <w:rFonts w:ascii="Microsoft YaHei" w:hAnsi="Microsoft YaHei" w:eastAsia="Microsoft YaHei"/>
          <w:color w:val="263238"/>
          <w:sz w:val="17"/>
        </w:rPr>
        <w:t>选择已发布 DatasetVersion</w:t>
        <w:br/>
        <w:t xml:space="preserve">  ↓</w:t>
        <w:br/>
        <w:t>读取其固定 Manifest 与 S3 版本资产</w:t>
        <w:br/>
        <w:t xml:space="preserve">  ↓</w:t>
        <w:br/>
        <w:t>创建新的在线投影命名空间</w:t>
        <w:br/>
        <w:t xml:space="preserve">  ↓</w:t>
        <w:br/>
        <w:t>全量导入并构建索引</w:t>
        <w:br/>
        <w:t xml:space="preserve">  ↓</w:t>
        <w:br/>
        <w:t>追平发布期间增量</w:t>
        <w:br/>
        <w:t xml:space="preserve">  ↓</w:t>
        <w:br/>
        <w:t>对账与查询验收</w:t>
        <w:br/>
        <w:t xml:space="preserve">  ↓</w:t>
        <w:br/>
        <w:t>切换 Search API 指针</w:t>
      </w:r>
    </w:p>
    <w:p>
      <w:r>
        <w:rPr>
          <w:rFonts w:ascii="Microsoft YaHei" w:hAnsi="Microsoft YaHei" w:eastAsia="Microsoft YaHei"/>
          <w:color w:val="222222"/>
          <w:sz w:val="21"/>
        </w:rPr>
        <w:t>完成上述重建能力后，更换或升级 Doris、ClickHouse 不再依赖旧数据库保留的历史状态。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  <w:sz w:val="32"/>
        </w:rPr>
        <w:t>10. Doris 与 ClickHouse 的定位建议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10.1 选择原则</w:t>
      </w:r>
    </w:p>
    <w:p>
      <w:r>
        <w:rPr>
          <w:rFonts w:ascii="Microsoft YaHei" w:hAnsi="Microsoft YaHei" w:eastAsia="Microsoft YaHei"/>
          <w:color w:val="222222"/>
          <w:sz w:val="21"/>
        </w:rPr>
        <w:t>数据库选择只决定在线投影和检索执行方式，不改变 S3、PostgreSQL、DatasetVersion 和 Projector 的总体设计。评估维度应包括：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结构化过滤、全文、向量检索能否在一个执行计划中协同；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过滤选择率变化时的召回率与延迟；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持续写入、更新、删除和索引构建的稳定性；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冷启动、缓存预热和 S3/远程存储访问成本；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单机或少量线下服务器上的部署和恢复难度；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1,000 万至 1 亿检索单元的容量和资源成本；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索引失败、节点故障和版本升级时的重建能力；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现有 ClickHouse 数据和查询的迁移工作量。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10.2 推荐结论</w:t>
      </w:r>
    </w:p>
    <w:p>
      <w:pPr>
        <w:pStyle w:val="Heading3"/>
      </w:pPr>
      <w:r>
        <w:rPr>
          <w:rFonts w:ascii="Microsoft YaHei" w:hAnsi="Microsoft YaHei" w:eastAsia="Microsoft YaHei"/>
          <w:color w:val="1F4D78"/>
          <w:sz w:val="23"/>
        </w:rPr>
        <w:t>优先验证：Apache Doris</w:t>
      </w:r>
    </w:p>
    <w:p>
      <w:r>
        <w:rPr>
          <w:rFonts w:ascii="Microsoft YaHei" w:hAnsi="Microsoft YaHei" w:eastAsia="Microsoft YaHei"/>
          <w:color w:val="222222"/>
          <w:sz w:val="21"/>
        </w:rPr>
        <w:t>Doris 的能力方向与本方案所需的结构化过滤、全文检索、向量检索和 SQL 编排较为接近，也有机会减少 ClickHouse 与独立向量库之间的一致性维护和查询编排，因此列为优先验证对象。</w:t>
      </w:r>
    </w:p>
    <w:p>
      <w:r>
        <w:rPr>
          <w:rFonts w:ascii="Microsoft YaHei" w:hAnsi="Microsoft YaHei" w:eastAsia="Microsoft YaHei"/>
          <w:color w:val="222222"/>
          <w:sz w:val="21"/>
        </w:rPr>
        <w:t>Doris 4.0 已提供面向定长向量的 ANN 索引、倒排全文能力和结构化预过滤，但这些能力不能直接等同于 ByteHouse：向量列和距离度量存在约束；“结构化/文本条件预过滤后执行 ANN”也不等于 BM25 排名与向量排名已经原生融合。真正的双路相关性融合仍需 SQL RRF、Search API 融合或后续重排，并以实际版本官方约束为准。</w:t>
      </w:r>
    </w:p>
    <w:p>
      <w:r>
        <w:rPr>
          <w:rFonts w:ascii="Microsoft YaHei" w:hAnsi="Microsoft YaHei" w:eastAsia="Microsoft YaHei"/>
          <w:color w:val="222222"/>
          <w:sz w:val="21"/>
        </w:rPr>
        <w:t>该判断只确定验证顺序，不构成生产迁移结论。PoC 需要使用接近实际规模的数据验证：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向量索引和全文索引能否稳定共存；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结构化预过滤下的 Recall、P95/P99；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持续导入、Compaction、删除和重建；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冷启动、磁盘占用和线下服务器内存压力；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多租户并发和热点数据隔离；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版本升级及故障恢复。</w:t>
      </w:r>
    </w:p>
    <w:p>
      <w:pPr>
        <w:pStyle w:val="Heading3"/>
      </w:pPr>
      <w:r>
        <w:rPr>
          <w:rFonts w:ascii="Microsoft YaHei" w:hAnsi="Microsoft YaHei" w:eastAsia="Microsoft YaHei"/>
          <w:color w:val="1F4D78"/>
          <w:sz w:val="23"/>
        </w:rPr>
        <w:t>同基准验证与回退：ClickHouse</w:t>
      </w:r>
    </w:p>
    <w:p>
      <w:r>
        <w:rPr>
          <w:rFonts w:ascii="Microsoft YaHei" w:hAnsi="Microsoft YaHei" w:eastAsia="Microsoft YaHei"/>
          <w:color w:val="222222"/>
          <w:sz w:val="21"/>
        </w:rPr>
        <w:t>现有平台已经使用 ClickHouse，元数据过滤、聚合和运维经验可以继续复用，迁移成本也相对较低。它主要适用于：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Doris PoC 未通过时的低风险回退；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新资产层和发布协议建设期间的过渡服务；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结构化过滤和聚合为主、向量融合要求相对有限的场景。</w:t>
      </w:r>
    </w:p>
    <w:p>
      <w:r>
        <w:rPr>
          <w:rFonts w:ascii="Microsoft YaHei" w:hAnsi="Microsoft YaHei" w:eastAsia="Microsoft YaHei"/>
          <w:color w:val="222222"/>
          <w:sz w:val="21"/>
        </w:rPr>
        <w:t>ClickHouse 向量相似度索引已在 25.8 达到 GA，原生文本索引在 26.2 达到生产可用，因此它应使用与 Doris 完全相同的数据版本、过滤矩阵和混合查询集建立正式基准，而不是只作为旧系统兼容性对照。其主要风险仍是全文、过滤 ANN 和相关性融合语义与 ByteHouse 并不等价，需要以目标版本实测，不能因为两者同源就默认具备相同能力。</w:t>
      </w:r>
    </w:p>
    <w:p>
      <w:pPr>
        <w:pStyle w:val="Heading3"/>
      </w:pPr>
      <w:r>
        <w:rPr>
          <w:rFonts w:ascii="Microsoft YaHei" w:hAnsi="Microsoft YaHei" w:eastAsia="Microsoft YaHei"/>
          <w:color w:val="1F4D78"/>
          <w:sz w:val="23"/>
        </w:rPr>
        <w:t>最后回退：ClickHouse + 集中式向量服务</w:t>
      </w:r>
    </w:p>
    <w:p>
      <w:r>
        <w:rPr>
          <w:rFonts w:ascii="Microsoft YaHei" w:hAnsi="Microsoft YaHei" w:eastAsia="Microsoft YaHei"/>
          <w:color w:val="222222"/>
          <w:sz w:val="21"/>
        </w:rPr>
        <w:t>仅当 Doris 和 ClickHouse 单引擎向量能力无法同时满足 Recall、延迟或容量目标时，再保留集中式 Milvus/Qdrant。此时仍应：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停止新增按数据集拆分的 Milvus Lite 文件；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由统一 Projector 同时投影两个在线系统；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以稳定 ID 和版本水位对齐；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由 Search API 负责候选融合；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保持两个投影均可从 S3 数据版本重建。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  <w:sz w:val="32"/>
        </w:rPr>
        <w:t>11. 与当前架构相比的主要变化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914"/>
        <w:gridCol w:w="3955"/>
        <w:gridCol w:w="2491"/>
      </w:tblGrid>
      <w:tr>
        <w:trPr>
          <w:tblHeader w:val="true"/>
        </w:trPr>
        <w:tc>
          <w:tcPr>
            <w:tcW w:type="dxa" w:w="29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当前方式</w:t>
            </w:r>
          </w:p>
        </w:tc>
        <w:tc>
          <w:tcPr>
            <w:tcW w:type="dxa" w:w="39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目标方式</w:t>
            </w:r>
          </w:p>
        </w:tc>
        <w:tc>
          <w:tcPr>
            <w:tcW w:type="dxa" w:w="24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直接收益</w:t>
            </w:r>
          </w:p>
        </w:tc>
      </w:tr>
      <w:tr>
        <w:tc>
          <w:tcPr>
            <w:tcW w:type="dxa" w:w="29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原始文件在 S3，派生结果散落在任务和数据库</w:t>
            </w:r>
          </w:p>
        </w:tc>
        <w:tc>
          <w:tcPr>
            <w:tcW w:type="dxa" w:w="39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原始与派生资产均在 S3 形成受控分层</w:t>
            </w:r>
          </w:p>
        </w:tc>
        <w:tc>
          <w:tcPr>
            <w:tcW w:type="dxa" w:w="24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加工结果可复用、可追溯、可重建</w:t>
            </w:r>
          </w:p>
        </w:tc>
      </w:tr>
      <w:tr>
        <w:tc>
          <w:tcPr>
            <w:tcW w:type="dxa" w:w="29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路径承担文件身份和去重</w:t>
            </w:r>
          </w:p>
        </w:tc>
        <w:tc>
          <w:tcPr>
            <w:tcW w:type="dxa" w:w="39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稳定 Asset/Revision/Segment ID + 内容 Hash</w:t>
            </w:r>
          </w:p>
        </w:tc>
        <w:tc>
          <w:tcPr>
            <w:tcW w:type="dxa" w:w="24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支持重命名、迁移、跨版本复用</w:t>
            </w:r>
          </w:p>
        </w:tc>
      </w:tr>
      <w:tr>
        <w:tc>
          <w:tcPr>
            <w:tcW w:type="dxa" w:w="29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每 App 一张 ClickHouse 表</w:t>
            </w:r>
          </w:p>
        </w:tc>
        <w:tc>
          <w:tcPr>
            <w:tcW w:type="dxa" w:w="39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统一逻辑检索模型，按租户字段和资源策略隔离</w:t>
            </w:r>
          </w:p>
        </w:tc>
        <w:tc>
          <w:tcPr>
            <w:tcW w:type="dxa" w:w="24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降低 DDL、Schema 和动态 SQL 成本</w:t>
            </w:r>
          </w:p>
        </w:tc>
      </w:tr>
      <w:tr>
        <w:tc>
          <w:tcPr>
            <w:tcW w:type="dxa" w:w="29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多个 Milvus Lite 文件逐库查询</w:t>
            </w:r>
          </w:p>
        </w:tc>
        <w:tc>
          <w:tcPr>
            <w:tcW w:type="dxa" w:w="39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单引擎向量检索或集中式向量服务</w:t>
            </w:r>
          </w:p>
        </w:tc>
        <w:tc>
          <w:tcPr>
            <w:tcW w:type="dxa" w:w="24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全局 Top-K、统一监控与备份</w:t>
            </w:r>
          </w:p>
        </w:tc>
      </w:tr>
      <w:tr>
        <w:tc>
          <w:tcPr>
            <w:tcW w:type="dxa" w:w="29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数据版本依赖 PG、CH、S3、Milvus 临时对齐</w:t>
            </w:r>
          </w:p>
        </w:tc>
        <w:tc>
          <w:tcPr>
            <w:tcW w:type="dxa" w:w="39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固定 S3 版本 + Manifest + 在线投影水位</w:t>
            </w:r>
          </w:p>
        </w:tc>
        <w:tc>
          <w:tcPr>
            <w:tcW w:type="dxa" w:w="24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发布、回滚和恢复边界清晰</w:t>
            </w:r>
          </w:p>
        </w:tc>
      </w:tr>
      <w:tr>
        <w:tc>
          <w:tcPr>
            <w:tcW w:type="dxa" w:w="29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写完一个系统即可能被查询</w:t>
            </w:r>
          </w:p>
        </w:tc>
        <w:tc>
          <w:tcPr>
            <w:tcW w:type="dxa" w:w="39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完成投影、对账后原子发布</w:t>
            </w:r>
          </w:p>
        </w:tc>
        <w:tc>
          <w:tcPr>
            <w:tcW w:type="dxa" w:w="24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避免半发布和越权可见</w:t>
            </w:r>
          </w:p>
        </w:tc>
      </w:tr>
      <w:tr>
        <w:tc>
          <w:tcPr>
            <w:tcW w:type="dxa" w:w="29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模型升级覆盖或重新散写</w:t>
            </w:r>
          </w:p>
        </w:tc>
        <w:tc>
          <w:tcPr>
            <w:tcW w:type="dxa" w:w="39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派生结果绑定 Pipeline/模型版本</w:t>
            </w:r>
          </w:p>
        </w:tc>
        <w:tc>
          <w:tcPr>
            <w:tcW w:type="dxa" w:w="24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支持复现、对比和回退</w:t>
            </w:r>
          </w:p>
        </w:tc>
      </w:tr>
      <w:tr>
        <w:tc>
          <w:tcPr>
            <w:tcW w:type="dxa" w:w="29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数据库是事实和索引的混合体</w:t>
            </w:r>
          </w:p>
        </w:tc>
        <w:tc>
          <w:tcPr>
            <w:tcW w:type="dxa" w:w="39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数据库明确为可重建 Serving Projection</w:t>
            </w:r>
          </w:p>
        </w:tc>
        <w:tc>
          <w:tcPr>
            <w:tcW w:type="dxa" w:w="24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降低迁移和故障恢复风险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color w:val="222222"/>
          <w:sz w:val="21"/>
        </w:rPr>
        <w:t>现有平台中的 PostgreSQL、对象存储、RabbitMQ、Celery、权限、审批、工作流、标注和质检能力可以继续复用。重构重点是重新定义这些组件之间的数据协议和状态边界，而不是一次性替换全部技术栈。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  <w:sz w:val="32"/>
        </w:rPr>
        <w:t>12. 分阶段落地建议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阶段 0：建立事实基线与统一身份</w:t>
      </w:r>
    </w:p>
    <w:p>
      <w:r>
        <w:rPr>
          <w:rFonts w:ascii="Microsoft YaHei" w:hAnsi="Microsoft YaHei" w:eastAsia="Microsoft YaHei"/>
          <w:color w:val="222222"/>
          <w:sz w:val="21"/>
        </w:rPr>
        <w:t>本阶段先理清数据身份、存储位置和版本归属。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盘点 S3、PostgreSQL、ClickHouse 和 Milvus Lite 的现有数据关系；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引入稳定 Asset、Revision、Segment ID 和内容 Hash；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停止以路径作为唯一身份和去重依据；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建立最小 Schema 注册与多模态关系规则；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明确 Raw、派生资产和在线投影的目录与保留策略。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阶段 1：建立版本化数据资产层</w:t>
      </w:r>
    </w:p>
    <w:p>
      <w:r>
        <w:rPr>
          <w:rFonts w:ascii="Microsoft YaHei" w:hAnsi="Microsoft YaHei" w:eastAsia="Microsoft YaHei"/>
          <w:color w:val="222222"/>
          <w:sz w:val="21"/>
        </w:rPr>
        <w:t>选取一批代表性数据，形成首个能够从原始数据重新加工、冻结和读取的 DatasetVersion。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选取代表性图片、视频和文档数据集；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打通 Raw → 解析/切分 → 派生资产 → 固定 DatasetVersion；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生成 Manifest、Schema Hash、成员数量和处理血缘；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引入 Lance 格式与 SDK，验证 S3 兼容性、增删改、快照读取、Fragment 复用、并发提交、Compaction、版本清理和批量读取；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固定 Lance SDK 与文件格式版本，不引入 LanceDB Server；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如验证未通过，以 Parquet + 受控 Manifest 过渡；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 xml:space="preserve">固定任务输入输出版本，禁止读取动态 </w:t>
      </w:r>
      <w:r>
        <w:rPr>
          <w:rFonts w:ascii="Consolas" w:hAnsi="Consolas" w:eastAsia="Consolas"/>
          <w:color w:val="1F4D78"/>
          <w:sz w:val="20"/>
        </w:rPr>
        <w:t>latest</w:t>
      </w:r>
      <w:r>
        <w:rPr>
          <w:rFonts w:ascii="Microsoft YaHei" w:hAnsi="Microsoft YaHei" w:eastAsia="Microsoft YaHei"/>
          <w:color w:val="222222"/>
          <w:sz w:val="21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阶段 2：建立发布协议与统一 Projector</w:t>
      </w:r>
    </w:p>
    <w:p>
      <w:r>
        <w:rPr>
          <w:rFonts w:ascii="Microsoft YaHei" w:hAnsi="Microsoft YaHei" w:eastAsia="Microsoft YaHei"/>
          <w:color w:val="222222"/>
          <w:sz w:val="21"/>
        </w:rPr>
        <w:t>通过统一投影程序和发布协议，使在线数据库能够从固定数据版本重建。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建立 PostgreSQL Outbox、版本状态机和索引水位；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实现 DatasetVersion → ClickHouse 的首个 Projector；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建立幂等、乱序保护、断点续写、死信和重放；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建立版本对账与从 S3 全量重建能力；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将历史 Milvus Lite 数据回收到统一版本资产。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阶段 3：Doris 与 ClickHouse 对照 PoC</w:t>
      </w:r>
    </w:p>
    <w:p>
      <w:r>
        <w:rPr>
          <w:rFonts w:ascii="Microsoft YaHei" w:hAnsi="Microsoft YaHei" w:eastAsia="Microsoft YaHei"/>
          <w:color w:val="222222"/>
          <w:sz w:val="21"/>
        </w:rPr>
        <w:t>两种引擎使用相同的数据版本、投影规则和查询集进行测试。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Doris 4.x 作为优先验证候选；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ClickHouse 26.2+ 使用同等数据规模和查询集建立正式基准；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使用真实模态比例、过滤选择率、向量维度和并发；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验证过滤、全文、ANN、混合融合、写入、删除、冷启动和重建；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以功能、质量、性能、运维四类决策门选择引擎。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阶段 4：迁移在线检索与统一入口</w:t>
      </w:r>
    </w:p>
    <w:p>
      <w:r>
        <w:rPr>
          <w:rFonts w:ascii="Microsoft YaHei" w:hAnsi="Microsoft YaHei" w:eastAsia="Microsoft YaHei"/>
          <w:color w:val="222222"/>
          <w:sz w:val="21"/>
        </w:rPr>
        <w:t>完成历史数据迁移和增量追平后切换生产检索，原始数据和业务控制面保持不变。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上线统一 Search API；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历史版本全量投影，新数据双写或事件追平；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完成权限、结果、行数、Recall 和延迟对账；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短暂停写后切换发布和查询指针；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保留旧投影一段观察期，支持快速回滚；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稳定后停止新增 App 独立表和 Milvus Lite 文件。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阶段 5：完善反馈闭环与平台化治理</w:t>
      </w:r>
    </w:p>
    <w:p>
      <w:r>
        <w:rPr>
          <w:rFonts w:ascii="Microsoft YaHei" w:hAnsi="Microsoft YaHei" w:eastAsia="Microsoft YaHei"/>
          <w:color w:val="222222"/>
          <w:sz w:val="21"/>
        </w:rPr>
        <w:t>将检索、标注、质检、训练和评测结果纳入后续数据版本生产。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回流检索点击、标注、质检、训练和评测结果；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构建困难样本、评测集和模型对比版本；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完善成本、质量、新鲜度和血缘监控；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根据规模决定是否引入分布式加工引擎和多节点高可用。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  <w:sz w:val="32"/>
        </w:rPr>
        <w:t>13. PoC 与验收框架</w:t>
      </w:r>
    </w:p>
    <w:p>
      <w:r>
        <w:rPr>
          <w:rFonts w:ascii="Microsoft YaHei" w:hAnsi="Microsoft YaHei" w:eastAsia="Microsoft YaHei"/>
          <w:color w:val="222222"/>
          <w:sz w:val="21"/>
        </w:rPr>
        <w:t>PoC 验收分为四类。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Gate A：数据正确性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稳定 ID、版本成员和多模态关系正确；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文件、文本、标签、向量和模型版本可追溯；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权限过滤无跨 App 或跨数据集泄漏；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重复事件、乱序事件和任务重试不产生错误结果；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删除和回滚结果符合版本语义。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Gate B：检索质量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结构化过滤结果与精确基线一致；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ANN Recall@K 达到业务目标；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混合检索不低于关键词或向量任一单路基线；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图片、视频片段、音频片段和文档块均有代表性测试集；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不同过滤选择率下分别测量召回率。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Gate C：性能与容量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1,000 万、5,000 万和 1 亿检索单元分级验证；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报告数据量、向量维度、过滤选择率、并发和冷热状态；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验证导入、增量更新、索引构建、查询和删除吞吐；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验证 S3 访问、线下网络、缓存预热和本地磁盘压力；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延迟目标根据现网业务基线最终确定。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Gate D：运维与恢复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单节点或服务故障后可恢复；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可从固定 DatasetVersion 重建在线投影；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支持版本升级、备份、监控、限流和容量告警；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连续混合读写和 Compaction 无不可恢复错误；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运维复杂度符合现有线下服务器和团队能力。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  <w:sz w:val="32"/>
        </w:rPr>
        <w:t>14. 主要风险与控制建议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92"/>
        <w:gridCol w:w="2818"/>
        <w:gridCol w:w="4350"/>
      </w:tblGrid>
      <w:tr>
        <w:trPr>
          <w:tblHeader w:val="true"/>
        </w:trPr>
        <w:tc>
          <w:tcPr>
            <w:tcW w:type="dxa" w:w="2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风险</w:t>
            </w:r>
          </w:p>
        </w:tc>
        <w:tc>
          <w:tcPr>
            <w:tcW w:type="dxa" w:w="28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表现</w:t>
            </w:r>
          </w:p>
        </w:tc>
        <w:tc>
          <w:tcPr>
            <w:tcW w:type="dxa" w:w="4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控制建议</w:t>
            </w:r>
          </w:p>
        </w:tc>
      </w:tr>
      <w:tr>
        <w:tc>
          <w:tcPr>
            <w:tcW w:type="dxa" w:w="2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S3 与线下网络成为瓶颈</w:t>
            </w:r>
          </w:p>
        </w:tc>
        <w:tc>
          <w:tcPr>
            <w:tcW w:type="dxa" w:w="28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加工或重建时远程小文件读取慢</w:t>
            </w:r>
          </w:p>
        </w:tc>
        <w:tc>
          <w:tcPr>
            <w:tcW w:type="dxa" w:w="4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批量文件、顺序读取、本地受控缓存、带宽与故障演练</w:t>
            </w:r>
          </w:p>
        </w:tc>
      </w:tr>
      <w:tr>
        <w:tc>
          <w:tcPr>
            <w:tcW w:type="dxa" w:w="2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派生资产造成存储放大</w:t>
            </w:r>
          </w:p>
        </w:tc>
        <w:tc>
          <w:tcPr>
            <w:tcW w:type="dxa" w:w="28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多模型、多版本重复保存文本和向量</w:t>
            </w:r>
          </w:p>
        </w:tc>
        <w:tc>
          <w:tcPr>
            <w:tcW w:type="dxa" w:w="4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内容 Hash、派生结果复用、版本保留与垃圾回收</w:t>
            </w:r>
          </w:p>
        </w:tc>
      </w:tr>
      <w:tr>
        <w:tc>
          <w:tcPr>
            <w:tcW w:type="dxa" w:w="2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Lance 引入运维成本</w:t>
            </w:r>
          </w:p>
        </w:tc>
        <w:tc>
          <w:tcPr>
            <w:tcW w:type="dxa" w:w="28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小 Fragment、并发提交、格式升级和版本清理复杂</w:t>
            </w:r>
          </w:p>
        </w:tc>
        <w:tc>
          <w:tcPr>
            <w:tcW w:type="dxa" w:w="4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批量写入、单一提交协调者、固定版本、Compaction、PoC 后再扩大范围</w:t>
            </w:r>
          </w:p>
        </w:tc>
      </w:tr>
      <w:tr>
        <w:tc>
          <w:tcPr>
            <w:tcW w:type="dxa" w:w="2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Doris 新检索能力稳定性不足</w:t>
            </w:r>
          </w:p>
        </w:tc>
        <w:tc>
          <w:tcPr>
            <w:tcW w:type="dxa" w:w="28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ANN、全文、Compaction 或冷启动未达标</w:t>
            </w:r>
          </w:p>
        </w:tc>
        <w:tc>
          <w:tcPr>
            <w:tcW w:type="dxa" w:w="4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真实负载 PoC，ClickHouse 保持回退能力</w:t>
            </w:r>
          </w:p>
        </w:tc>
      </w:tr>
      <w:tr>
        <w:tc>
          <w:tcPr>
            <w:tcW w:type="dxa" w:w="2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ClickHouse 无法达到混合检索质量</w:t>
            </w:r>
          </w:p>
        </w:tc>
        <w:tc>
          <w:tcPr>
            <w:tcW w:type="dxa" w:w="28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关键词相关性或融合能力不足</w:t>
            </w:r>
          </w:p>
        </w:tc>
        <w:tc>
          <w:tcPr>
            <w:tcW w:type="dxa" w:w="4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Search API 补充融合，必要时集中式向量服务</w:t>
            </w:r>
          </w:p>
        </w:tc>
      </w:tr>
      <w:tr>
        <w:tc>
          <w:tcPr>
            <w:tcW w:type="dxa" w:w="2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Celery 串行任务吞吐不足</w:t>
            </w:r>
          </w:p>
        </w:tc>
        <w:tc>
          <w:tcPr>
            <w:tcW w:type="dxa" w:w="28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大批量导入积压</w:t>
            </w:r>
          </w:p>
        </w:tc>
        <w:tc>
          <w:tcPr>
            <w:tcW w:type="dxa" w:w="4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分片并行、幂等写入、检查点；达到阈值后引入分布式计算</w:t>
            </w:r>
          </w:p>
        </w:tc>
      </w:tr>
      <w:tr>
        <w:tc>
          <w:tcPr>
            <w:tcW w:type="dxa" w:w="2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Schema 再次失控</w:t>
            </w:r>
          </w:p>
        </w:tc>
        <w:tc>
          <w:tcPr>
            <w:tcW w:type="dxa" w:w="28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长尾 JSON 字段不断增长</w:t>
            </w:r>
          </w:p>
        </w:tc>
        <w:tc>
          <w:tcPr>
            <w:tcW w:type="dxa" w:w="4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Schema 注册、高频字段晋升、兼容性校验和命名空间</w:t>
            </w:r>
          </w:p>
        </w:tc>
      </w:tr>
      <w:tr>
        <w:tc>
          <w:tcPr>
            <w:tcW w:type="dxa" w:w="2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半发布数据被查询</w:t>
            </w:r>
          </w:p>
        </w:tc>
        <w:tc>
          <w:tcPr>
            <w:tcW w:type="dxa" w:w="28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多系统写入进度不同</w:t>
            </w:r>
          </w:p>
        </w:tc>
        <w:tc>
          <w:tcPr>
            <w:tcW w:type="dxa" w:w="4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固定版本、投影水位、发布前对账、原子切换指针</w:t>
            </w:r>
          </w:p>
        </w:tc>
      </w:tr>
      <w:tr>
        <w:tc>
          <w:tcPr>
            <w:tcW w:type="dxa" w:w="2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删除不完整</w:t>
            </w:r>
          </w:p>
        </w:tc>
        <w:tc>
          <w:tcPr>
            <w:tcW w:type="dxa" w:w="28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数据库已删但 S3 或旧版本仍保留</w:t>
            </w:r>
          </w:p>
        </w:tc>
        <w:tc>
          <w:tcPr>
            <w:tcW w:type="dxa" w:w="4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引用检查、墓碑传播、保留期和分阶段物理回收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color w:val="2E74B5"/>
          <w:sz w:val="32"/>
        </w:rPr>
        <w:t>15. 方案结论</w:t>
      </w:r>
    </w:p>
    <w:p>
      <w:r>
        <w:rPr>
          <w:rFonts w:ascii="Microsoft YaHei" w:hAnsi="Microsoft YaHei" w:eastAsia="Microsoft YaHei"/>
          <w:color w:val="222222"/>
          <w:sz w:val="21"/>
        </w:rPr>
        <w:t>本次改造不从数据库替换入手，先建设稳定 ID、S3 数据分层、不可变 DatasetVersion、Manifest、Projector 和发布水位。完成这些基础工作后，在线引擎才能在不影响数据资产模型的情况下进行比较和替换。</w:t>
      </w:r>
    </w:p>
    <w:p>
      <w:r>
        <w:rPr>
          <w:rFonts w:ascii="Microsoft YaHei" w:hAnsi="Microsoft YaHei" w:eastAsia="Microsoft YaHei"/>
          <w:color w:val="222222"/>
          <w:sz w:val="21"/>
        </w:rPr>
        <w:t>原始 Blob 长期保留在 S3，文本、标签、片段和向量等派生结果也以开放格式形成可复现版本。PostgreSQL 继续管理业务状态、版本和权限；Doris/ClickHouse 在线保存元数据、文本、向量及索引，并能够从 S3 固定版本重建。</w:t>
      </w:r>
    </w:p>
    <w:p>
      <w:r>
        <w:rPr>
          <w:rFonts w:ascii="Microsoft YaHei" w:hAnsi="Microsoft YaHei" w:eastAsia="Microsoft YaHei"/>
          <w:color w:val="222222"/>
          <w:sz w:val="21"/>
        </w:rPr>
        <w:t>版本化 Dataset 优先采用 Lance 格式与 SDK。原始大文件仍以普通 S3 对象保存，Lance 负责组织标准化样本、文件引用、文本、标签、质量结果和 Embedding。Camera DMP 的 DatasetVersion 绑定经过校验的 Lance 快照，并继续使用业务 Manifest 记录父版本、处理过程和投影状态。第一阶段不部署 LanceDB Server；PoC 不通过时回退到 Parquet + Manifest。</w:t>
      </w:r>
    </w:p>
    <w:p>
      <w:r>
        <w:rPr>
          <w:rFonts w:ascii="Microsoft YaHei" w:hAnsi="Microsoft YaHei" w:eastAsia="Microsoft YaHei"/>
          <w:color w:val="222222"/>
          <w:sz w:val="21"/>
        </w:rPr>
        <w:t>多模态解析、切分、OCR、ASR、Caption、质检和 Embedding 在数据加工层完成，在线数据库接收标准化检索记录。DatasetVersion 完成冻结、质量校验、在线投影、索引构建和对账后方可发布。</w:t>
      </w:r>
    </w:p>
    <w:p>
      <w:r>
        <w:rPr>
          <w:rFonts w:ascii="Microsoft YaHei" w:hAnsi="Microsoft YaHei" w:eastAsia="Microsoft YaHei"/>
          <w:color w:val="222222"/>
          <w:sz w:val="21"/>
        </w:rPr>
        <w:t>Doris 作为优先验证对象，ClickHouse 使用同等数据和查询集建立基准并保留回退能力。最终选型依据真实多模态数据下的过滤正确性、Recall、P99、持续写入、资源占用和恢复表现确定。</w:t>
      </w:r>
    </w:p>
    <w:p>
      <w:r>
        <w:rPr>
          <w:rFonts w:ascii="Microsoft YaHei" w:hAnsi="Microsoft YaHei" w:eastAsia="Microsoft YaHei"/>
          <w:color w:val="222222"/>
          <w:sz w:val="21"/>
        </w:rPr>
        <w:t>PostgreSQL、RabbitMQ、Celery、对象存储、权限、工作流、标注和质检能力在初期继续复用。改造工作围绕数据协议和状态边界逐步展开，不要求一次性替换现有技术栈。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  <w:sz w:val="32"/>
        </w:rPr>
        <w:t>16. 后续需要深化的专题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DatasetVersion、Asset、Revision、Segment、Derivative 的详细领域模型；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S3 目录、对象命名、Manifest 与数据保留规范；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Lance on S3 PoC 及 Parquet 过渡方案；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Projector、Outbox、索引水位和发布状态机详细设计；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多模态 Pipeline、模型版本和派生结果复用设计；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Search API、混合检索策略与权限过滤设计；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Doris/ClickHouse 等比 PoC 数据集、查询集和验收阈值；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历史 ClickHouse 与 Milvus Lite 数据迁移和回滚方案；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22222"/>
          <w:sz w:val="21"/>
        </w:rPr>
        <w:t>线下服务器与 S3 之间的带宽、缓存、容灾和安全设计。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  <w:sz w:val="32"/>
        </w:rPr>
        <w:t>17. 参考依据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本地架构与方案材料</w:t>
      </w:r>
    </w:p>
    <w:p>
      <w:pPr>
        <w:pStyle w:val="ListBullet"/>
        <w:spacing w:after="80" w:line="290" w:lineRule="auto"/>
        <w:ind w:left="547" w:hanging="274"/>
      </w:pPr>
      <w:r>
        <w:rPr>
          <w:rFonts w:ascii="Consolas" w:hAnsi="Consolas" w:eastAsia="Consolas"/>
          <w:color w:val="1F4D78"/>
          <w:sz w:val="20"/>
        </w:rPr>
        <w:t>Camera DMP数据网格平台设计剖析与架构归档.md</w:t>
      </w:r>
    </w:p>
    <w:p>
      <w:pPr>
        <w:pStyle w:val="ListBullet"/>
        <w:spacing w:after="80" w:line="290" w:lineRule="auto"/>
        <w:ind w:left="547" w:hanging="274"/>
      </w:pPr>
      <w:r>
        <w:rPr>
          <w:rFonts w:ascii="Consolas" w:hAnsi="Consolas" w:eastAsia="Consolas"/>
          <w:color w:val="1F4D78"/>
          <w:sz w:val="20"/>
        </w:rPr>
        <w:t>Camera DMP混合检索三路线重构落地方案书.md</w:t>
      </w:r>
    </w:p>
    <w:p>
      <w:pPr>
        <w:pStyle w:val="ListBullet"/>
        <w:spacing w:after="80" w:line="290" w:lineRule="auto"/>
        <w:ind w:left="547" w:hanging="274"/>
      </w:pPr>
      <w:r>
        <w:rPr>
          <w:rFonts w:ascii="Consolas" w:hAnsi="Consolas" w:eastAsia="Consolas"/>
          <w:color w:val="1F4D78"/>
          <w:sz w:val="20"/>
        </w:rPr>
        <w:t>数据平台重构中Lance的价值与引入建议.md</w:t>
      </w:r>
    </w:p>
    <w:p>
      <w:pPr>
        <w:pStyle w:val="ListBullet"/>
        <w:spacing w:after="80" w:line="290" w:lineRule="auto"/>
        <w:ind w:left="547" w:hanging="274"/>
      </w:pPr>
      <w:r>
        <w:rPr>
          <w:rFonts w:ascii="Consolas" w:hAnsi="Consolas" w:eastAsia="Consolas"/>
          <w:color w:val="1F4D78"/>
          <w:sz w:val="20"/>
        </w:rPr>
        <w:t>数据集版本管理设计.md</w:t>
      </w:r>
    </w:p>
    <w:p>
      <w:pPr>
        <w:pStyle w:val="ListBullet"/>
        <w:spacing w:after="80" w:line="290" w:lineRule="auto"/>
        <w:ind w:left="547" w:hanging="274"/>
      </w:pPr>
      <w:r>
        <w:rPr>
          <w:rFonts w:ascii="Consolas" w:hAnsi="Consolas" w:eastAsia="Consolas"/>
          <w:color w:val="1F4D78"/>
          <w:sz w:val="20"/>
        </w:rPr>
        <w:t>Agent数据平台值得借鉴的设计分析报告.md</w:t>
      </w:r>
    </w:p>
    <w:p>
      <w:pPr>
        <w:pStyle w:val="ListBullet"/>
        <w:spacing w:after="80" w:line="290" w:lineRule="auto"/>
        <w:ind w:left="547" w:hanging="274"/>
      </w:pPr>
      <w:r>
        <w:rPr>
          <w:rFonts w:ascii="Consolas" w:hAnsi="Consolas" w:eastAsia="Consolas"/>
          <w:color w:val="1F4D78"/>
          <w:sz w:val="20"/>
        </w:rPr>
        <w:t>Q&amp;A/数据平台问答归档.md</w:t>
      </w:r>
    </w:p>
    <w:p>
      <w:pPr>
        <w:pStyle w:val="ListBullet"/>
        <w:spacing w:after="80" w:line="290" w:lineRule="auto"/>
        <w:ind w:left="547" w:hanging="274"/>
      </w:pPr>
      <w:r>
        <w:rPr>
          <w:rFonts w:ascii="Consolas" w:hAnsi="Consolas" w:eastAsia="Consolas"/>
          <w:color w:val="1F4D78"/>
          <w:sz w:val="20"/>
        </w:rPr>
        <w:t>research/ByteHouse_中文版.md</w:t>
      </w:r>
    </w:p>
    <w:p>
      <w:pPr>
        <w:pStyle w:val="ListBullet"/>
        <w:spacing w:after="80" w:line="290" w:lineRule="auto"/>
        <w:ind w:left="547" w:hanging="274"/>
      </w:pPr>
      <w:r>
        <w:rPr>
          <w:rFonts w:ascii="Consolas" w:hAnsi="Consolas" w:eastAsia="Consolas"/>
          <w:color w:val="1F4D78"/>
          <w:sz w:val="20"/>
        </w:rPr>
        <w:t>research/Camera_DMP_Doris_vs_ClickHouse_重构选型归档.md</w:t>
      </w:r>
    </w:p>
    <w:p>
      <w:pPr>
        <w:pStyle w:val="ListBullet"/>
        <w:spacing w:after="80" w:line="290" w:lineRule="auto"/>
        <w:ind w:left="547" w:hanging="274"/>
      </w:pPr>
      <w:r>
        <w:rPr>
          <w:rFonts w:ascii="Consolas" w:hAnsi="Consolas" w:eastAsia="Consolas"/>
          <w:color w:val="1F4D78"/>
          <w:sz w:val="20"/>
        </w:rPr>
        <w:t>research/bytehouse_figures_archive/ByteHouse_Figures_Archive.md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外部参考方向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E74B5"/>
          <w:sz w:val="20"/>
        </w:rPr>
        <w:t>火山引擎 LAS 企业级 RAG 案例（https://docs.volcengine.com/docs/6492/1799580?lang=zh）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E74B5"/>
          <w:sz w:val="20"/>
        </w:rPr>
        <w:t>ByteHouse 云原生实时多模态分析与检索论文（https://arxiv.org/abs/2602.08226）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E74B5"/>
          <w:sz w:val="20"/>
        </w:rPr>
        <w:t>Apache Doris Vector Index（https://doris.apache.org/docs/dev/key-features/vector-index/）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E74B5"/>
          <w:sz w:val="20"/>
        </w:rPr>
        <w:t>Apache Doris Full-text Search（https://doris.apache.org/docs/dev/key-features/full-text-search/）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E74B5"/>
          <w:sz w:val="20"/>
        </w:rPr>
        <w:t>Apache Doris Hybrid Search（https://doris.apache.org/zh-CN/docs/dev/key-features/hybrid-search/）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E74B5"/>
          <w:sz w:val="20"/>
        </w:rPr>
        <w:t>Apache Doris Reciprocal Rank Fusion（https://doris.apache.org/docs/4.x/key-features/reciprocal-rank-fusion/）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E74B5"/>
          <w:sz w:val="20"/>
        </w:rPr>
        <w:t>Apache Doris 4.0 Release（https://doris.apache.org/releases/v4.0/release-4.0.0/）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E74B5"/>
          <w:sz w:val="20"/>
        </w:rPr>
        <w:t>ClickHouse Exact and Approximate Vector Search（https://clickhouse.com/docs/reference/engines/table-engines/mergetree-family/annindexes）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E74B5"/>
          <w:sz w:val="20"/>
        </w:rPr>
        <w:t>ClickHouse Full-text Search with Text Indexes（https://clickhouse.com/docs/reference/engines/table-engines/mergetree-family/textindexes）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E74B5"/>
          <w:sz w:val="20"/>
        </w:rPr>
        <w:t>ClickHouse 26.2 Release（https://clickhouse.com/blog/clickhouse-release-26-02）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E74B5"/>
          <w:sz w:val="20"/>
        </w:rPr>
        <w:t>Lance Table Format and Manifest（https://lance.org/format/table/）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E74B5"/>
          <w:sz w:val="20"/>
        </w:rPr>
        <w:t>Lance Object Store Configuration（https://lance.org/guide/object_store/）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E74B5"/>
          <w:sz w:val="20"/>
        </w:rPr>
        <w:t>Lance Format Versioning（https://lance.org/format/file/versioning/）</w:t>
      </w:r>
    </w:p>
    <w:p>
      <w:pPr>
        <w:pStyle w:val="ListBullet"/>
        <w:spacing w:after="80" w:line="290" w:lineRule="auto"/>
        <w:ind w:left="547" w:hanging="274"/>
      </w:pPr>
      <w:r>
        <w:rPr>
          <w:rFonts w:ascii="Microsoft YaHei" w:hAnsi="Microsoft YaHei" w:eastAsia="Microsoft YaHei"/>
          <w:color w:val="2E74B5"/>
          <w:sz w:val="20"/>
        </w:rPr>
        <w:t>Lance Transactions（https://lance.org/format/table/transaction/）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152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B7280"/>
        <w:sz w:val="17"/>
      </w:rPr>
      <w:t xml:space="preserve">第 </w:t>
    </w:r>
    <w:fldSimple w:instr="PAGE"/>
    <w:r>
      <w:rPr>
        <w:rFonts w:ascii="Microsoft YaHei" w:hAnsi="Microsoft YaHei" w:eastAsia="Microsoft YaHei"/>
        <w:color w:val="6B72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B7280"/>
        <w:sz w:val="17"/>
      </w:rPr>
      <w:t>Camera DMP · 底层数据架构重构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19" w:lineRule="auto"/>
      <w:jc w:val="both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203748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