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系统运行环境宜采用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宜采用“四层三中台”总体架构：数据层负责采集、清洗、治理与存储；算法层负责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>
        <w:t>宜采用分层网络结构，划分接入区、应用服务区、数据服务区、分析计算区和运维管理区；外部访问通过统一入口接入，核心数据服务通过内网隔离部署，分析计算区与数据区通过受控通道交互。生产环境宜采用双网隔离、边界防护和统一审计设计。</w:t>
      </w:r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>
        <w:t>基础环境应包括应用服务器、数据服务器、对象存储、图数据库、向量数据库、全文检索服务、缓存服务、消息队列、任务调度组件及监控日志组件，并支持容器化部署与横向扩容。宜在生产环境中分别部署高可用数据库、对象存储和监控告警组件。</w:t>
      </w:r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>
        <w:t>典型业务流程为：多源数据采集 -&gt; 数据清洗与治理 -&gt; 特征提取与主题识别 -&gt; 关联分析与趋势研判 -&gt; 预警触发或报告生成 -&gt; 成果沉淀与复用。对于专家参与场景，可在趋势研判后增加专家评审与德尔菲迭代环节。</w:t>
      </w:r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关键技术宜包括对象存储、分析型数据库、图数据库、向量数据库、全文检索、微服务与容器编排、任务调度、消息队列、前端可视化组件、大语言模型与数据分析算法等。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支持科技实体检索、筛选、导入、画像展示、详情分析与报告导出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支持前沿技术识别、清单展示、关联网络、趋势分析与评估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技术体系/论文分析/专利分析/科研项目分析/社会网络分析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支持技术体系构建、专题分析、网络分析和任务管理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聚类分析/共性网络分析/技术动态预警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支持趋势识别、关系矩阵、标签聚合、预警配置与处理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支持问卷迭代、共识分析、路线图编辑、导出与分享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研究报告管理/战略咨询报告生成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支持模板管理、AI辅助生成、审核发布和导出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案例展示/成果管理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支持成果展示、搜索筛选、在线查看、下载与分享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研究需求分析模块界面由检索筛选区、结果展示区、详情面板、图表分析区和导出操作区构成，突出高频分析操作的可达性与信息联动性。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研究需求分析模块覆盖科技实体清单、颠覆性与前沿技术分析、媒体聚焦三个方面，支持从实体发现、技术识别、舆情感知到报告输出的业务闭环。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>
        <w:t>功能界面设计</w:t>
      </w:r>
    </w:p>
    <w:p w14:paraId="04C8C846" w14:textId="77777777" w:rsidR="00B13097" w:rsidRDefault="00B13097">
      <w:r>
        <w:t>技术趋势与报告模块界面以趋势列表、标签筛选、图谱联动、预警面板和报告操作区为主，同时兼顾技术体系编辑、专家协同和成果输出场景。</w:t>
      </w:r>
    </w:p>
    <w:p w14:paraId="25B7E4AC" w14:textId="77777777" w:rsidR="00B13097" w:rsidRDefault="00B13097">
      <w:r>
        <w:t>功能详细描述</w:t>
      </w:r>
    </w:p>
    <w:p w14:paraId="1ACC59A7" w14:textId="77777777" w:rsidR="00B13097" w:rsidRDefault="00B13097">
      <w:r>
        <w:t>技术趋势与报告模块支持技术趋势识别、动态预警、技术体系协同、战略咨询报告生成和成果管理，满足从趋势研判到成果交付的完整链路。</w:t>
      </w:r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宜按业务库、主题分析库、日志库、文件存储区、向量索引区和图谱存储区进行物理划分，并建立分层索引与冷热数据管理机制。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>
        <w:t>界面采用顶部导航、左侧菜单、主内容区和右侧分析/详情面板的组合布局，兼顾分析操作深度与信息密度。</w:t>
      </w:r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>
        <w:t>菜单按业务域分组，一级菜单覆盖研究需求分析、技术体系分析、技术趋势分析、领域技术线路、报告与成果、智能问数等。</w:t>
      </w:r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>
        <w:t>接口类型</w:t>
      </w:r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>
        <w:t>接口参数</w:t>
      </w:r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>
        <w:t>硬件接口设计重点关注应用服务器、数据服务器、存储设备、安全设备和网络交换设备之间的连接关系，确保业务访问链路、数据存储链路和备份链路彼此隔离且具备冗余能力。</w:t>
      </w:r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系统配置文件包括应用服务配置、数据源配置、任务调度配置、消息通知配置、日志配置、权限配置和模型参数配置等，并宜区分开发、测试、生产等不同环境的配置模板。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系统运行时可按数据接入、分析计算、报告生成、成果管理、预警触发等场景组合不同模块，各模块通过任务调度、缓存、消息队列和存储服务协同运行；对于批量分析任务，宜采用异步执行与状态回查机制。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采用队列调度保障稳定性。宜对查询、计算、导出和预警四类任务分别设置资源配额与优先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硬件及网络方面宜采用冗余网络链路、分层部署、独立存储、定期备份和安全隔离策略，保证关键服务高可用和数据可恢复。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软件方面宜采用安全加固的操作系统、数据库审计、接口鉴权、传输加密、敏感数据脱敏、访问日志留痕和权限最小化控制，满足系统安全与数据安全要求。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系统维护设计应覆盖监控告警、健康检查、日志汇聚、配置管理、任务巡检、数据备份、模型调优和版本升级等内容，以降低运行维护成本，并通过标准化手册和巡检机制提升可维护性。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附录可关联项目原始需求资料、用户旅程地图、开发工作思路、原型清单、接口定义文档、数据字典、测试计划和部署实施说明等材料。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