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硬件层面建议采用应用服务器、数据处理服务器、数据库服务器、存储资源及网络安全设备等组合部署，并结合后续数据规模与并发规模进行分期扩容。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建议核心查询场景达到秒级响应，复杂分析任务支持异步调度与结果回查，并预留横向扩容能力。建议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服务器建议部署于 Linux 环境，客户端支持主流浏览器访问，支持内网或专网部署，并满足国产化与安全合规扩展要求；部署上建议划分应用区、数据区、分析区和运维管理区，同时建立开发、测试、生产环境隔离机制。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