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硬件层面建议采用应用服务器、数据处理服务器、数据库服务器、存储资源及网络安全设备等组合部署，并结合后续数据规模与并发规模进行分期扩容。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系统应满足多用户并发访问、批量任务处理、分析任务异步执行、报表生成和可视化联动展示等性能要求；建议核心查询场景达到秒级响应，复杂分析任务支持异步调度与结果回查，并预留横向扩容能力。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服务器建议部署于 Linux 环境，客户端支持主流浏览器访问，支持内网或专网部署，并满足国产化与安全合规扩展要求；部署上建议划分应用区、数据区、分析区和运维管理区。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