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0"/>
          <w:szCs w:val="30"/>
        </w:rPr>
        <w:t xml:space="preserve">ICESTASY PROJECTS PVT LTD</w:t>
      </w:r>
    </w:p>
    <w:p>
      <w:pPr>
        <w:spacing w:after="160"/>
      </w:pPr>
      <w:r>
        <w:rPr>
          <w:rFonts w:ascii="Calibri" w:cs="Calibri" w:eastAsia="Calibri" w:hAnsi="Calibri"/>
          <w:i/>
          <w:iCs/>
          <w:color w:val="595959"/>
          <w:sz w:val="19"/>
          <w:szCs w:val="19"/>
        </w:rPr>
        <w:t xml:space="preserve">Gourmet Ice Cream Premix Manufacturer — B2B / HORECA</w:t>
      </w:r>
    </w:p>
    <w:p>
      <w:pPr>
        <w:spacing w:after="140"/>
      </w:pPr>
      <w:r>
        <w:rPr>
          <w:rFonts w:ascii="Calibri" w:cs="Calibri" w:eastAsia="Calibri" w:hAnsi="Calibri"/>
          <w:b/>
          <w:bCs/>
          <w:sz w:val="26"/>
          <w:szCs w:val="26"/>
        </w:rPr>
        <w:t xml:space="preserve">Job Description: Product &amp; Business Operations Analyst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tcBorders>
              <w:top w:val="none" w:color="FFFFFF" w:sz="0"/>
              <w:left w:val="none" w:color="FFFFFF" w:sz="0"/>
              <w:bottom w:val="none" w:color="FFFFFF" w:sz="0"/>
              <w:right w:val="none" w:color="FFFFFF" w:sz="0"/>
            </w:tcBorders>
            <w:shd w:fill="F2F2F2" w:color="auto" w:val="clear"/>
            <w:tcMar>
              <w:top w:type="dxa" w:w="40"/>
              <w:left w:type="dxa" w:w="120"/>
              <w:bottom w:type="dxa" w:w="40"/>
              <w:right w:type="dxa" w:w="120"/>
            </w:tcMar>
          </w:tcPr>
          <w:p>
            <w:r>
              <w:rPr>
                <w:rFonts w:ascii="Calibri" w:cs="Calibri" w:eastAsia="Calibri" w:hAnsi="Calibri"/>
                <w:b/>
                <w:bCs/>
                <w:color w:val="1F3864"/>
                <w:sz w:val="19"/>
                <w:szCs w:val="19"/>
              </w:rPr>
              <w:t xml:space="preserve">Location</w:t>
            </w:r>
          </w:p>
        </w:tc>
        <w:tc>
          <w:tcPr>
            <w:tcW w:type="dxa" w:w="69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sz w:val="19"/>
                <w:szCs w:val="19"/>
              </w:rPr>
              <w:t xml:space="preserve">Mumbai (on-site)</w:t>
            </w:r>
          </w:p>
        </w:tc>
      </w:tr>
      <w:tr>
        <w:tc>
          <w:tcPr>
            <w:tcW w:type="dxa" w:w="2500"/>
            <w:tcBorders>
              <w:top w:val="none" w:color="FFFFFF" w:sz="0"/>
              <w:left w:val="none" w:color="FFFFFF" w:sz="0"/>
              <w:bottom w:val="none" w:color="FFFFFF" w:sz="0"/>
              <w:right w:val="none" w:color="FFFFFF" w:sz="0"/>
            </w:tcBorders>
            <w:shd w:fill="F2F2F2" w:color="auto" w:val="clear"/>
            <w:tcMar>
              <w:top w:type="dxa" w:w="40"/>
              <w:left w:type="dxa" w:w="120"/>
              <w:bottom w:type="dxa" w:w="40"/>
              <w:right w:type="dxa" w:w="120"/>
            </w:tcMar>
          </w:tcPr>
          <w:p>
            <w:r>
              <w:rPr>
                <w:rFonts w:ascii="Calibri" w:cs="Calibri" w:eastAsia="Calibri" w:hAnsi="Calibri"/>
                <w:b/>
                <w:bCs/>
                <w:color w:val="1F3864"/>
                <w:sz w:val="19"/>
                <w:szCs w:val="19"/>
              </w:rPr>
              <w:t xml:space="preserve">Experience</w:t>
            </w:r>
          </w:p>
        </w:tc>
        <w:tc>
          <w:tcPr>
            <w:tcW w:type="dxa" w:w="69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sz w:val="19"/>
                <w:szCs w:val="19"/>
              </w:rPr>
              <w:t xml:space="preserve">0–2 years</w:t>
            </w:r>
          </w:p>
        </w:tc>
      </w:tr>
      <w:tr>
        <w:tc>
          <w:tcPr>
            <w:tcW w:type="dxa" w:w="2500"/>
            <w:tcBorders>
              <w:top w:val="none" w:color="FFFFFF" w:sz="0"/>
              <w:left w:val="none" w:color="FFFFFF" w:sz="0"/>
              <w:bottom w:val="none" w:color="FFFFFF" w:sz="0"/>
              <w:right w:val="none" w:color="FFFFFF" w:sz="0"/>
            </w:tcBorders>
            <w:shd w:fill="F2F2F2" w:color="auto" w:val="clear"/>
            <w:tcMar>
              <w:top w:type="dxa" w:w="40"/>
              <w:left w:type="dxa" w:w="120"/>
              <w:bottom w:type="dxa" w:w="40"/>
              <w:right w:type="dxa" w:w="120"/>
            </w:tcMar>
          </w:tcPr>
          <w:p>
            <w:r>
              <w:rPr>
                <w:rFonts w:ascii="Calibri" w:cs="Calibri" w:eastAsia="Calibri" w:hAnsi="Calibri"/>
                <w:b/>
                <w:bCs/>
                <w:color w:val="1F3864"/>
                <w:sz w:val="19"/>
                <w:szCs w:val="19"/>
              </w:rPr>
              <w:t xml:space="preserve">Qualification</w:t>
            </w:r>
          </w:p>
        </w:tc>
        <w:tc>
          <w:tcPr>
            <w:tcW w:type="dxa" w:w="69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sz w:val="19"/>
                <w:szCs w:val="19"/>
              </w:rPr>
              <w:t xml:space="preserve">B.Tech / MMS / MSc (Finance) or equivalent</w:t>
            </w:r>
          </w:p>
        </w:tc>
      </w:tr>
      <w:tr>
        <w:tc>
          <w:tcPr>
            <w:tcW w:type="dxa" w:w="2500"/>
            <w:tcBorders>
              <w:top w:val="none" w:color="FFFFFF" w:sz="0"/>
              <w:left w:val="none" w:color="FFFFFF" w:sz="0"/>
              <w:bottom w:val="none" w:color="FFFFFF" w:sz="0"/>
              <w:right w:val="none" w:color="FFFFFF" w:sz="0"/>
            </w:tcBorders>
            <w:shd w:fill="F2F2F2" w:color="auto" w:val="clear"/>
            <w:tcMar>
              <w:top w:type="dxa" w:w="40"/>
              <w:left w:type="dxa" w:w="120"/>
              <w:bottom w:type="dxa" w:w="40"/>
              <w:right w:type="dxa" w:w="120"/>
            </w:tcMar>
          </w:tcPr>
          <w:p>
            <w:r>
              <w:rPr>
                <w:rFonts w:ascii="Calibri" w:cs="Calibri" w:eastAsia="Calibri" w:hAnsi="Calibri"/>
                <w:b/>
                <w:bCs/>
                <w:color w:val="1F3864"/>
                <w:sz w:val="19"/>
                <w:szCs w:val="19"/>
              </w:rPr>
              <w:t xml:space="preserve">Reports To</w:t>
            </w:r>
          </w:p>
        </w:tc>
        <w:tc>
          <w:tcPr>
            <w:tcW w:type="dxa" w:w="69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sz w:val="19"/>
                <w:szCs w:val="19"/>
              </w:rPr>
              <w:t xml:space="preserve">Founder / CEO</w:t>
            </w:r>
          </w:p>
        </w:tc>
      </w:tr>
      <w:tr>
        <w:tc>
          <w:tcPr>
            <w:tcW w:type="dxa" w:w="2500"/>
            <w:tcBorders>
              <w:top w:val="none" w:color="FFFFFF" w:sz="0"/>
              <w:left w:val="none" w:color="FFFFFF" w:sz="0"/>
              <w:bottom w:val="none" w:color="FFFFFF" w:sz="0"/>
              <w:right w:val="none" w:color="FFFFFF" w:sz="0"/>
            </w:tcBorders>
            <w:shd w:fill="F2F2F2" w:color="auto" w:val="clear"/>
            <w:tcMar>
              <w:top w:type="dxa" w:w="40"/>
              <w:left w:type="dxa" w:w="120"/>
              <w:bottom w:type="dxa" w:w="40"/>
              <w:right w:type="dxa" w:w="120"/>
            </w:tcMar>
          </w:tcPr>
          <w:p>
            <w:r>
              <w:rPr>
                <w:rFonts w:ascii="Calibri" w:cs="Calibri" w:eastAsia="Calibri" w:hAnsi="Calibri"/>
                <w:b/>
                <w:bCs/>
                <w:color w:val="1F3864"/>
                <w:sz w:val="19"/>
                <w:szCs w:val="19"/>
              </w:rPr>
              <w:t xml:space="preserve">Employment Type</w:t>
            </w:r>
          </w:p>
        </w:tc>
        <w:tc>
          <w:tcPr>
            <w:tcW w:type="dxa" w:w="69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sz w:val="19"/>
                <w:szCs w:val="19"/>
              </w:rPr>
              <w:t xml:space="preserve">Full-time</w:t>
            </w:r>
          </w:p>
        </w:tc>
      </w:tr>
    </w:tbl>
    <w:p>
      <w:pPr>
        <w:pBdr>
          <w:bottom w:val="single" w:color="B08D57" w:sz="8" w:space="4"/>
        </w:pBdr>
        <w:spacing w:after="90" w:before="180"/>
      </w:pPr>
      <w:r>
        <w:rPr>
          <w:rFonts w:ascii="Calibri" w:cs="Calibri" w:eastAsia="Calibri" w:hAnsi="Calibri"/>
          <w:b/>
          <w:bCs/>
          <w:color w:val="1F3864"/>
          <w:sz w:val="22"/>
          <w:szCs w:val="22"/>
        </w:rPr>
        <w:t xml:space="preserve">ABOUT ICESTASY</w:t>
      </w:r>
    </w:p>
    <w:p>
      <w:pPr>
        <w:spacing w:after="100"/>
      </w:pPr>
      <w:r>
        <w:rPr>
          <w:rFonts w:ascii="Calibri" w:cs="Calibri" w:eastAsia="Calibri" w:hAnsi="Calibri"/>
          <w:sz w:val="21"/>
          <w:szCs w:val="21"/>
        </w:rPr>
        <w:t xml:space="preserve">Icestasy Projects is a gourmet ice cream premix manufacturer serving B2B customers across HORECA channels (hotels, restaurants, cafes) in Mumbai, Pune, Bangalore, Delhi, and Hyderabad. As we scale, we are building the tools, processes, and cost visibility to grow without chaos.</w:t>
      </w:r>
    </w:p>
    <w:p>
      <w:pPr>
        <w:pBdr>
          <w:bottom w:val="single" w:color="B08D57" w:sz="8" w:space="4"/>
        </w:pBdr>
        <w:spacing w:after="90" w:before="180"/>
      </w:pPr>
      <w:r>
        <w:rPr>
          <w:rFonts w:ascii="Calibri" w:cs="Calibri" w:eastAsia="Calibri" w:hAnsi="Calibri"/>
          <w:b/>
          <w:bCs/>
          <w:color w:val="1F3864"/>
          <w:sz w:val="22"/>
          <w:szCs w:val="22"/>
        </w:rPr>
        <w:t xml:space="preserve">ROLE SUMMARY</w:t>
      </w:r>
    </w:p>
    <w:p>
      <w:pPr>
        <w:spacing w:after="100"/>
      </w:pPr>
      <w:r>
        <w:rPr>
          <w:rFonts w:ascii="Calibri" w:cs="Calibri" w:eastAsia="Calibri" w:hAnsi="Calibri"/>
          <w:sz w:val="21"/>
          <w:szCs w:val="21"/>
        </w:rPr>
        <w:t xml:space="preserve">Working directly with the CEO, you will turn manual, error-prone processes into simple internal tools, clear SOPs, and decision-ready numbers. You own each solution end to end and look at every process through a financial lens: what it costs, where margin leaks, and how it affects cash.</w:t>
      </w:r>
    </w:p>
    <w:p>
      <w:pPr>
        <w:pBdr>
          <w:bottom w:val="single" w:color="B08D57" w:sz="8" w:space="4"/>
        </w:pBdr>
        <w:spacing w:after="90" w:before="180"/>
      </w:pPr>
      <w:r>
        <w:rPr>
          <w:rFonts w:ascii="Calibri" w:cs="Calibri" w:eastAsia="Calibri" w:hAnsi="Calibri"/>
          <w:b/>
          <w:bCs/>
          <w:color w:val="1F3864"/>
          <w:sz w:val="22"/>
          <w:szCs w:val="22"/>
        </w:rPr>
        <w:t xml:space="preserve">KEY RESPONSIBILITIES</w:t>
      </w:r>
    </w:p>
    <w:p>
      <w:pPr>
        <w:spacing w:after="50" w:before="100"/>
      </w:pPr>
      <w:r>
        <w:rPr>
          <w:rFonts w:ascii="Calibri" w:cs="Calibri" w:eastAsia="Calibri" w:hAnsi="Calibri"/>
          <w:b/>
          <w:bCs/>
          <w:color w:val="1F3864"/>
          <w:sz w:val="21"/>
          <w:szCs w:val="21"/>
        </w:rPr>
        <w:t xml:space="preserve">Product &amp; Process</w:t>
      </w:r>
    </w:p>
    <w:p>
      <w:pPr>
        <w:pStyle w:val="ListParagraph"/>
        <w:numPr>
          <w:ilvl w:val="0"/>
          <w:numId w:val="2"/>
        </w:numPr>
        <w:spacing w:after="50"/>
      </w:pPr>
      <w:r>
        <w:rPr>
          <w:rFonts w:ascii="Calibri" w:cs="Calibri" w:eastAsia="Calibri" w:hAnsi="Calibri"/>
          <w:sz w:val="21"/>
          <w:szCs w:val="21"/>
        </w:rPr>
        <w:t xml:space="preserve">Identify and prioritise operational bottlenecks across HR, procurement, production, and dispatch.</w:t>
      </w:r>
    </w:p>
    <w:p>
      <w:pPr>
        <w:pStyle w:val="ListParagraph"/>
        <w:numPr>
          <w:ilvl w:val="0"/>
          <w:numId w:val="2"/>
        </w:numPr>
        <w:spacing w:after="50"/>
      </w:pPr>
      <w:r>
        <w:rPr>
          <w:rFonts w:ascii="Calibri" w:cs="Calibri" w:eastAsia="Calibri" w:hAnsi="Calibri"/>
          <w:sz w:val="21"/>
          <w:szCs w:val="21"/>
        </w:rPr>
        <w:t xml:space="preserve">Build and improve internal tools (e.g., salary structuring, costing, trackers) by turning company policy into clear, rule-based logic.</w:t>
      </w:r>
    </w:p>
    <w:p>
      <w:pPr>
        <w:pStyle w:val="ListParagraph"/>
        <w:numPr>
          <w:ilvl w:val="0"/>
          <w:numId w:val="2"/>
        </w:numPr>
        <w:spacing w:after="50"/>
      </w:pPr>
      <w:r>
        <w:rPr>
          <w:rFonts w:ascii="Calibri" w:cs="Calibri" w:eastAsia="Calibri" w:hAnsi="Calibri"/>
          <w:sz w:val="21"/>
          <w:szCs w:val="21"/>
        </w:rPr>
        <w:t xml:space="preserve">Document and standardise core processes through SOPs that the team actually follows.</w:t>
      </w:r>
    </w:p>
    <w:p>
      <w:pPr>
        <w:spacing w:after="50" w:before="100"/>
      </w:pPr>
      <w:r>
        <w:rPr>
          <w:rFonts w:ascii="Calibri" w:cs="Calibri" w:eastAsia="Calibri" w:hAnsi="Calibri"/>
          <w:b/>
          <w:bCs/>
          <w:color w:val="1F3864"/>
          <w:sz w:val="21"/>
          <w:szCs w:val="21"/>
        </w:rPr>
        <w:t xml:space="preserve">Cost &amp; Business Analysis</w:t>
      </w:r>
    </w:p>
    <w:p>
      <w:pPr>
        <w:pStyle w:val="ListParagraph"/>
        <w:numPr>
          <w:ilvl w:val="0"/>
          <w:numId w:val="2"/>
        </w:numPr>
        <w:spacing w:after="50"/>
      </w:pPr>
      <w:r>
        <w:rPr>
          <w:rFonts w:ascii="Calibri" w:cs="Calibri" w:eastAsia="Calibri" w:hAnsi="Calibri"/>
          <w:sz w:val="21"/>
          <w:szCs w:val="21"/>
        </w:rPr>
        <w:t xml:space="preserve">Build cost models by product, SKU, and customer, and track margins by product and channel.</w:t>
      </w:r>
    </w:p>
    <w:p>
      <w:pPr>
        <w:pStyle w:val="ListParagraph"/>
        <w:numPr>
          <w:ilvl w:val="0"/>
          <w:numId w:val="2"/>
        </w:numPr>
        <w:spacing w:after="50"/>
      </w:pPr>
      <w:r>
        <w:rPr>
          <w:rFonts w:ascii="Calibri" w:cs="Calibri" w:eastAsia="Calibri" w:hAnsi="Calibri"/>
          <w:sz w:val="21"/>
          <w:szCs w:val="21"/>
        </w:rPr>
        <w:t xml:space="preserve">Support the CEO with analysis on manpower cost, working capital, and ROI of new tools, vendors, and investments.</w:t>
      </w:r>
    </w:p>
    <w:p>
      <w:pPr>
        <w:pStyle w:val="ListParagraph"/>
        <w:numPr>
          <w:ilvl w:val="0"/>
          <w:numId w:val="2"/>
        </w:numPr>
        <w:spacing w:after="50"/>
      </w:pPr>
      <w:r>
        <w:rPr>
          <w:rFonts w:ascii="Calibri" w:cs="Calibri" w:eastAsia="Calibri" w:hAnsi="Calibri"/>
          <w:sz w:val="21"/>
          <w:szCs w:val="21"/>
        </w:rPr>
        <w:t xml:space="preserve">Ensure payroll structures remain compliant with PF, ESIC, Professional Tax, and LWF requirements.</w:t>
      </w:r>
    </w:p>
    <w:p>
      <w:pPr>
        <w:pBdr>
          <w:bottom w:val="single" w:color="B08D57" w:sz="8" w:space="4"/>
        </w:pBdr>
        <w:spacing w:after="90" w:before="180"/>
      </w:pPr>
      <w:r>
        <w:rPr>
          <w:rFonts w:ascii="Calibri" w:cs="Calibri" w:eastAsia="Calibri" w:hAnsi="Calibri"/>
          <w:b/>
          <w:bCs/>
          <w:color w:val="1F3864"/>
          <w:sz w:val="22"/>
          <w:szCs w:val="22"/>
        </w:rPr>
        <w:t xml:space="preserve">SKILLS REQUIRED</w:t>
      </w:r>
    </w:p>
    <w:p>
      <w:pPr>
        <w:pStyle w:val="ListParagraph"/>
        <w:numPr>
          <w:ilvl w:val="0"/>
          <w:numId w:val="2"/>
        </w:numPr>
        <w:spacing w:after="50"/>
      </w:pPr>
      <w:r>
        <w:rPr>
          <w:rFonts w:ascii="Calibri" w:cs="Calibri" w:eastAsia="Calibri" w:hAnsi="Calibri"/>
          <w:sz w:val="21"/>
          <w:szCs w:val="21"/>
        </w:rPr>
        <w:t xml:space="preserve">Ability to break a messy, manual process into clear steps, rules, and owners.</w:t>
      </w:r>
    </w:p>
    <w:p>
      <w:pPr>
        <w:pStyle w:val="ListParagraph"/>
        <w:numPr>
          <w:ilvl w:val="0"/>
          <w:numId w:val="2"/>
        </w:numPr>
        <w:spacing w:after="50"/>
      </w:pPr>
      <w:r>
        <w:rPr>
          <w:rFonts w:ascii="Calibri" w:cs="Calibri" w:eastAsia="Calibri" w:hAnsi="Calibri"/>
          <w:sz w:val="21"/>
          <w:szCs w:val="21"/>
        </w:rPr>
        <w:t xml:space="preserve">Hands-on with building simple tools in spreadsheets, no-code platforms, or basic scripting (Apps Script, HTML/JS).</w:t>
      </w:r>
    </w:p>
    <w:p>
      <w:pPr>
        <w:pStyle w:val="ListParagraph"/>
        <w:numPr>
          <w:ilvl w:val="0"/>
          <w:numId w:val="2"/>
        </w:numPr>
        <w:spacing w:after="50"/>
      </w:pPr>
      <w:r>
        <w:rPr>
          <w:rFonts w:ascii="Calibri" w:cs="Calibri" w:eastAsia="Calibri" w:hAnsi="Calibri"/>
          <w:sz w:val="21"/>
          <w:szCs w:val="21"/>
        </w:rPr>
        <w:t xml:space="preserve">A numbers-first mindset: quantifying cost, time saved, and margin impact before recommending a change.</w:t>
      </w:r>
    </w:p>
    <w:p>
      <w:pPr>
        <w:pStyle w:val="ListParagraph"/>
        <w:numPr>
          <w:ilvl w:val="0"/>
          <w:numId w:val="2"/>
        </w:numPr>
        <w:spacing w:after="50"/>
      </w:pPr>
      <w:r>
        <w:rPr>
          <w:rFonts w:ascii="Calibri" w:cs="Calibri" w:eastAsia="Calibri" w:hAnsi="Calibri"/>
          <w:sz w:val="21"/>
          <w:szCs w:val="21"/>
        </w:rPr>
        <w:t xml:space="preserve">Ownership: takes work from idea to adoption with minimal supervision.</w:t>
      </w:r>
    </w:p>
    <w:p>
      <w:pPr>
        <w:pBdr>
          <w:bottom w:val="single" w:color="B08D57" w:sz="8" w:space="4"/>
        </w:pBdr>
        <w:spacing w:after="90" w:before="180"/>
      </w:pPr>
      <w:r>
        <w:rPr>
          <w:rFonts w:ascii="Calibri" w:cs="Calibri" w:eastAsia="Calibri" w:hAnsi="Calibri"/>
          <w:b/>
          <w:bCs/>
          <w:color w:val="1F3864"/>
          <w:sz w:val="22"/>
          <w:szCs w:val="22"/>
        </w:rPr>
        <w:t xml:space="preserve">WHAT SUCCESS LOOKS LIKE</w:t>
      </w:r>
    </w:p>
    <w:p>
      <w:pPr>
        <w:pStyle w:val="ListParagraph"/>
        <w:numPr>
          <w:ilvl w:val="1"/>
          <w:numId w:val="2"/>
        </w:numPr>
        <w:spacing w:after="40"/>
      </w:pPr>
      <w:r>
        <w:rPr>
          <w:rFonts w:ascii="Calibri" w:cs="Calibri" w:eastAsia="Calibri" w:hAnsi="Calibri"/>
          <w:color w:val="595959"/>
          <w:sz w:val="20"/>
          <w:szCs w:val="20"/>
        </w:rPr>
        <w:t xml:space="preserve">Within 6 months: at least two manual processes replaced by tools or SOPs the team uses, and a product- and channel-wise margin view reviewed monthly with the CEO.</w:t>
      </w:r>
    </w:p>
    <w:p>
      <w:pPr>
        <w:pBdr>
          <w:bottom w:val="single" w:color="B08D57" w:sz="8" w:space="4"/>
        </w:pBdr>
        <w:spacing w:after="90" w:before="180"/>
      </w:pPr>
      <w:r>
        <w:rPr>
          <w:rFonts w:ascii="Calibri" w:cs="Calibri" w:eastAsia="Calibri" w:hAnsi="Calibri"/>
          <w:b/>
          <w:bCs/>
          <w:color w:val="1F3864"/>
          <w:sz w:val="22"/>
          <w:szCs w:val="22"/>
        </w:rPr>
        <w:t xml:space="preserve">HOW TO APPLY</w:t>
      </w:r>
    </w:p>
    <w:p>
      <w:pPr>
        <w:spacing w:after="100"/>
      </w:pPr>
      <w:r>
        <w:rPr>
          <w:rFonts w:ascii="Calibri" w:cs="Calibri" w:eastAsia="Calibri" w:hAnsi="Calibri"/>
          <w:sz w:val="21"/>
          <w:szCs w:val="21"/>
        </w:rPr>
        <w:t xml:space="preserve">Email your resume and a short note on a process or tool you have improved to info@icestasyprojects.com.</w:t>
      </w:r>
    </w:p>
    <w:sectPr>
      <w:pgSz w:w="12240" w:h="15840" w:orient="portrait"/>
      <w:pgMar w:top="864" w:right="1296" w:bottom="86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lvl w:ilvl="1" w15:tentative="1">
      <w:start w:val="1"/>
      <w:numFmt w:val="bullet"/>
      <w:lvlText w:val="◦"/>
      <w:lvlJc w:val="left"/>
      <w:pPr>
        <w:ind w:left="7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2026-10-16T10:49:40.971Z</dcterms:created>
  <dcterms:modified xsi:type="dcterms:W3CDTF">2026-10-16T10:49:40.971Z</dcterms:modified>
</cp:coreProperties>
</file>

<file path=docProps/custom.xml><?xml version="1.0" encoding="utf-8"?>
<Properties xmlns="http://schemas.openxmlformats.org/officeDocument/2006/custom-properties" xmlns:vt="http://schemas.openxmlformats.org/officeDocument/2006/docPropsVTypes"/>
</file>