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Pr>
          <w:p>
            <w:pPr>
              <w:spacing w:after="0"/>
              <w:jc w:val="left"/>
            </w:pPr>
            <w:r>
              <w:rPr>
                <w:rFonts w:ascii="Times New Roman" w:cs="Times New Roman" w:eastAsia="Times New Roman" w:hAnsi="Times New Roman"/>
                <w:sz w:val="18"/>
                <w:szCs w:val="18"/>
              </w:rPr>
              <w:t xml:space="preserve">Icestasy Projects Pvt. Ltd.</w:t>
            </w:r>
          </w:p>
          <w:p>
            <w:pPr>
              <w:spacing w:after="0"/>
              <w:jc w:val="left"/>
            </w:pPr>
            <w:r>
              <w:rPr>
                <w:rFonts w:ascii="Times New Roman" w:cs="Times New Roman" w:eastAsia="Times New Roman" w:hAnsi="Times New Roman"/>
                <w:sz w:val="18"/>
                <w:szCs w:val="18"/>
              </w:rPr>
              <w:t xml:space="preserve">G3, Platinum Residency,</w:t>
            </w:r>
          </w:p>
          <w:p>
            <w:pPr>
              <w:spacing w:after="0"/>
              <w:jc w:val="left"/>
            </w:pPr>
            <w:r>
              <w:rPr>
                <w:rFonts w:ascii="Times New Roman" w:cs="Times New Roman" w:eastAsia="Times New Roman" w:hAnsi="Times New Roman"/>
                <w:sz w:val="18"/>
                <w:szCs w:val="18"/>
              </w:rPr>
              <w:t xml:space="preserve">Tejpal Schemes, Road No. 5,</w:t>
            </w:r>
          </w:p>
          <w:p>
            <w:pPr>
              <w:spacing w:after="0"/>
              <w:jc w:val="left"/>
            </w:pPr>
            <w:r>
              <w:rPr>
                <w:rFonts w:ascii="Times New Roman" w:cs="Times New Roman" w:eastAsia="Times New Roman" w:hAnsi="Times New Roman"/>
                <w:sz w:val="18"/>
                <w:szCs w:val="18"/>
              </w:rPr>
              <w:t xml:space="preserve">Vile Parle (E), Mumbai: 400057.</w:t>
            </w:r>
          </w:p>
        </w:tc>
        <w:tc>
          <w:tcPr>
            <w:tcW w:type="dxa" w:w="4513"/>
            <w:tcBorders>
              <w:top w:val="none" w:color="FFFFFF" w:sz="0"/>
              <w:left w:val="none" w:color="FFFFFF" w:sz="0"/>
              <w:bottom w:val="none" w:color="FFFFFF" w:sz="0"/>
              <w:right w:val="none" w:color="FFFFFF" w:sz="0"/>
            </w:tcBorders>
          </w:tcPr>
          <w:p>
            <w:pPr>
              <w:spacing w:after="0"/>
              <w:jc w:val="right"/>
            </w:pPr>
            <w:r>
              <w:rPr>
                <w:rFonts w:ascii="Times New Roman" w:cs="Times New Roman" w:eastAsia="Times New Roman" w:hAnsi="Times New Roman"/>
                <w:sz w:val="18"/>
                <w:szCs w:val="18"/>
              </w:rPr>
              <w:t xml:space="preserve">W: www.icestasyprojects.com</w:t>
            </w:r>
          </w:p>
          <w:p>
            <w:pPr>
              <w:spacing w:after="0"/>
              <w:jc w:val="right"/>
            </w:pPr>
            <w:r>
              <w:rPr>
                <w:rFonts w:ascii="Times New Roman" w:cs="Times New Roman" w:eastAsia="Times New Roman" w:hAnsi="Times New Roman"/>
                <w:sz w:val="18"/>
                <w:szCs w:val="18"/>
              </w:rPr>
              <w:t xml:space="preserve">E: info@icestasyprojects.com</w:t>
            </w:r>
          </w:p>
          <w:p>
            <w:pPr>
              <w:spacing w:after="0"/>
              <w:jc w:val="right"/>
            </w:pPr>
            <w:r>
              <w:rPr>
                <w:rFonts w:ascii="Times New Roman" w:cs="Times New Roman" w:eastAsia="Times New Roman" w:hAnsi="Times New Roman"/>
                <w:sz w:val="18"/>
                <w:szCs w:val="18"/>
              </w:rPr>
              <w:t xml:space="preserve">CIN: U74999MH016PTC282398</w:t>
            </w:r>
          </w:p>
          <w:p>
            <w:pPr>
              <w:spacing w:after="0"/>
              <w:jc w:val="right"/>
            </w:pPr>
            <w:r>
              <w:rPr>
                <w:rFonts w:ascii="Times New Roman" w:cs="Times New Roman" w:eastAsia="Times New Roman" w:hAnsi="Times New Roman"/>
                <w:sz w:val="18"/>
                <w:szCs w:val="18"/>
              </w:rPr>
              <w:t xml:space="preserve">M: 93245 90822 / 80505 88847</w:t>
            </w:r>
          </w:p>
        </w:tc>
      </w:tr>
    </w:tbl>
    <w:p>
      <w:pPr>
        <w:pBdr>
          <w:bottom w:val="single" w:color="808080" w:sz="6" w:space="1"/>
        </w:pBdr>
        <w:spacing w:after="360" w:before="360"/>
      </w:pPr>
    </w:p>
    <w:p>
      <w:pPr>
        <w:spacing w:after="240"/>
      </w:pPr>
      <w:r>
        <w:rPr>
          <w:rFonts w:ascii="Times New Roman" w:cs="Times New Roman" w:eastAsia="Times New Roman" w:hAnsi="Times New Roman"/>
          <w:b/>
          <w:bCs/>
          <w:sz w:val="30"/>
          <w:szCs w:val="30"/>
        </w:rPr>
        <w:t xml:space="preserve">Job Description: Product &amp; Operations Manager</w:t>
      </w:r>
    </w:p>
    <w:p>
      <w:pPr>
        <w:spacing w:after="60"/>
      </w:pPr>
      <w:r>
        <w:rPr>
          <w:rFonts w:ascii="Times New Roman" w:cs="Times New Roman" w:eastAsia="Times New Roman" w:hAnsi="Times New Roman"/>
          <w:b/>
          <w:bCs/>
          <w:sz w:val="22"/>
          <w:szCs w:val="22"/>
        </w:rPr>
        <w:t xml:space="preserve">Location: </w:t>
      </w:r>
      <w:r>
        <w:rPr>
          <w:rFonts w:ascii="Times New Roman" w:cs="Times New Roman" w:eastAsia="Times New Roman" w:hAnsi="Times New Roman"/>
          <w:sz w:val="22"/>
          <w:szCs w:val="22"/>
        </w:rPr>
        <w:t xml:space="preserve">Mumbai</w:t>
      </w:r>
    </w:p>
    <w:p>
      <w:pPr>
        <w:spacing w:after="60"/>
      </w:pPr>
      <w:r>
        <w:rPr>
          <w:rFonts w:ascii="Times New Roman" w:cs="Times New Roman" w:eastAsia="Times New Roman" w:hAnsi="Times New Roman"/>
          <w:b/>
          <w:bCs/>
          <w:sz w:val="22"/>
          <w:szCs w:val="22"/>
        </w:rPr>
        <w:t xml:space="preserve">Experience: </w:t>
      </w:r>
      <w:r>
        <w:rPr>
          <w:rFonts w:ascii="Times New Roman" w:cs="Times New Roman" w:eastAsia="Times New Roman" w:hAnsi="Times New Roman"/>
          <w:sz w:val="22"/>
          <w:szCs w:val="22"/>
        </w:rPr>
        <w:t xml:space="preserve">0–2 years, B.Tech / MMS / MSc (Finance) or equivalent</w:t>
      </w:r>
    </w:p>
    <w:p>
      <w:pPr>
        <w:spacing w:after="60"/>
      </w:pPr>
      <w:r>
        <w:rPr>
          <w:rFonts w:ascii="Times New Roman" w:cs="Times New Roman" w:eastAsia="Times New Roman" w:hAnsi="Times New Roman"/>
          <w:b/>
          <w:bCs/>
          <w:sz w:val="22"/>
          <w:szCs w:val="22"/>
        </w:rPr>
        <w:t xml:space="preserve">Reports to: </w:t>
      </w:r>
      <w:r>
        <w:rPr>
          <w:rFonts w:ascii="Times New Roman" w:cs="Times New Roman" w:eastAsia="Times New Roman" w:hAnsi="Times New Roman"/>
          <w:sz w:val="22"/>
          <w:szCs w:val="22"/>
        </w:rPr>
        <w:t xml:space="preserve">CEO / Founder</w:t>
      </w:r>
    </w:p>
    <w:p>
      <w:pPr>
        <w:spacing w:after="60"/>
      </w:pPr>
      <w:r>
        <w:rPr>
          <w:rFonts w:ascii="Times New Roman" w:cs="Times New Roman" w:eastAsia="Times New Roman" w:hAnsi="Times New Roman"/>
          <w:b/>
          <w:bCs/>
          <w:sz w:val="22"/>
          <w:szCs w:val="22"/>
        </w:rPr>
        <w:t xml:space="preserve">Employment type: </w:t>
      </w:r>
      <w:r>
        <w:rPr>
          <w:rFonts w:ascii="Times New Roman" w:cs="Times New Roman" w:eastAsia="Times New Roman" w:hAnsi="Times New Roman"/>
          <w:sz w:val="22"/>
          <w:szCs w:val="22"/>
        </w:rPr>
        <w:t xml:space="preserve">Full time</w:t>
      </w:r>
    </w:p>
    <w:p>
      <w:pPr>
        <w:spacing w:after="80" w:before="240"/>
      </w:pPr>
      <w:r>
        <w:rPr>
          <w:rFonts w:ascii="Times New Roman" w:cs="Times New Roman" w:eastAsia="Times New Roman" w:hAnsi="Times New Roman"/>
          <w:b/>
          <w:bCs/>
          <w:sz w:val="26"/>
          <w:szCs w:val="26"/>
        </w:rPr>
        <w:t xml:space="preserve">About Icestasy</w:t>
      </w:r>
    </w:p>
    <w:p>
      <w:pPr>
        <w:spacing w:after="80" w:line="252"/>
      </w:pPr>
      <w:r>
        <w:rPr>
          <w:rFonts w:ascii="Times New Roman" w:cs="Times New Roman" w:eastAsia="Times New Roman" w:hAnsi="Times New Roman"/>
          <w:sz w:val="22"/>
          <w:szCs w:val="22"/>
        </w:rPr>
        <w:t xml:space="preserve">Icestasy Projects is a gourmet ice cream manufacturer serving B2B customers across HORECA channels (hotels, restaurants, cafes) in Mumbai, Pune, Bangalore, Delhi, and Hyderabad. As the company scales across markets, we are building a product, operations, and finance layer that turns manual, person-dependent processes into standardised tools and workflows, and gives leadership clear visibility into cost, margin, and cash.</w:t>
      </w:r>
    </w:p>
    <w:p>
      <w:pPr>
        <w:spacing w:after="80" w:before="240"/>
      </w:pPr>
      <w:r>
        <w:rPr>
          <w:rFonts w:ascii="Times New Roman" w:cs="Times New Roman" w:eastAsia="Times New Roman" w:hAnsi="Times New Roman"/>
          <w:b/>
          <w:bCs/>
          <w:sz w:val="26"/>
          <w:szCs w:val="26"/>
        </w:rPr>
        <w:t xml:space="preserve">Role Summary</w:t>
      </w:r>
    </w:p>
    <w:p>
      <w:pPr>
        <w:spacing w:after="80" w:line="252"/>
      </w:pPr>
      <w:r>
        <w:rPr>
          <w:rFonts w:ascii="Times New Roman" w:cs="Times New Roman" w:eastAsia="Times New Roman" w:hAnsi="Times New Roman"/>
          <w:sz w:val="22"/>
          <w:szCs w:val="22"/>
        </w:rPr>
        <w:t xml:space="preserve">We are looking for a Product &amp; Operations Manager to identify operational friction across the business and convert it into working internal products, standard processes, and clear SOPs, reporting directly to the CEO. Every process this role touches is viewed through a financial lens: what it costs, where margin leaks, and how it affects cash flow. This role owns the full cycle: defining the problem, translating company policy into business rules, building or sourcing the solution, testing it against real output, rolling it out, and improving it based on usage.</w:t>
      </w:r>
    </w:p>
    <w:p>
      <w:pPr>
        <w:spacing w:after="80" w:line="252"/>
      </w:pPr>
      <w:r>
        <w:rPr>
          <w:rFonts w:ascii="Times New Roman" w:cs="Times New Roman" w:eastAsia="Times New Roman" w:hAnsi="Times New Roman"/>
          <w:sz w:val="22"/>
          <w:szCs w:val="22"/>
        </w:rPr>
        <w:t xml:space="preserve">The role has already delivered the company’s Employee Salary Structure Calculator, an internal tool that converts Annual CTC into a complete monthly salary breakdown, covering fixed and variable pay, salary components, employer statutory contributions, employee deductions, and net take-home, with branded print and single-page PDF output. The next phase is to extend the same discipline across HR, finance, procurement, production, and dispatch.</w:t>
      </w:r>
    </w:p>
    <w:p>
      <w:pPr>
        <w:spacing w:after="80" w:before="240"/>
      </w:pPr>
      <w:r>
        <w:rPr>
          <w:rFonts w:ascii="Times New Roman" w:cs="Times New Roman" w:eastAsia="Times New Roman" w:hAnsi="Times New Roman"/>
          <w:b/>
          <w:bCs/>
          <w:sz w:val="26"/>
          <w:szCs w:val="26"/>
        </w:rPr>
        <w:t xml:space="preserve">Key Skills You’ll Bring</w:t>
      </w:r>
    </w:p>
    <w:p>
      <w:pPr>
        <w:pStyle w:val="ListParagraph"/>
        <w:numPr>
          <w:ilvl w:val="0"/>
          <w:numId w:val="2"/>
        </w:numPr>
        <w:spacing w:after="60"/>
      </w:pPr>
      <w:r>
        <w:rPr>
          <w:rFonts w:ascii="Times New Roman" w:cs="Times New Roman" w:eastAsia="Times New Roman" w:hAnsi="Times New Roman"/>
          <w:sz w:val="22"/>
          <w:szCs w:val="22"/>
        </w:rPr>
        <w:t xml:space="preserve">Product thinking: framing a business problem, defining scope, and translating policy into clear, rule-based logic</w:t>
      </w:r>
    </w:p>
    <w:p>
      <w:pPr>
        <w:pStyle w:val="ListParagraph"/>
        <w:numPr>
          <w:ilvl w:val="0"/>
          <w:numId w:val="2"/>
        </w:numPr>
        <w:spacing w:after="60"/>
      </w:pPr>
      <w:r>
        <w:rPr>
          <w:rFonts w:ascii="Times New Roman" w:cs="Times New Roman" w:eastAsia="Times New Roman" w:hAnsi="Times New Roman"/>
          <w:sz w:val="22"/>
          <w:szCs w:val="22"/>
        </w:rPr>
        <w:t xml:space="preserve">Process design: mapping workflows, removing bottlenecks, and writing SOPs that people actually follow</w:t>
      </w:r>
    </w:p>
    <w:p>
      <w:pPr>
        <w:pStyle w:val="ListParagraph"/>
        <w:numPr>
          <w:ilvl w:val="0"/>
          <w:numId w:val="2"/>
        </w:numPr>
        <w:spacing w:after="60"/>
      </w:pPr>
      <w:r>
        <w:rPr>
          <w:rFonts w:ascii="Times New Roman" w:cs="Times New Roman" w:eastAsia="Times New Roman" w:hAnsi="Times New Roman"/>
          <w:sz w:val="22"/>
          <w:szCs w:val="22"/>
        </w:rPr>
        <w:t xml:space="preserve">Working knowledge of Indian payroll and statutory compliance (PF, ESIC, EDLI, Professional Tax, LWF)</w:t>
      </w:r>
    </w:p>
    <w:p>
      <w:pPr>
        <w:pStyle w:val="ListParagraph"/>
        <w:numPr>
          <w:ilvl w:val="0"/>
          <w:numId w:val="2"/>
        </w:numPr>
        <w:spacing w:after="60"/>
      </w:pPr>
      <w:r>
        <w:rPr>
          <w:rFonts w:ascii="Times New Roman" w:cs="Times New Roman" w:eastAsia="Times New Roman" w:hAnsi="Times New Roman"/>
          <w:sz w:val="22"/>
          <w:szCs w:val="22"/>
        </w:rPr>
        <w:t xml:space="preserve">Financial modelling and analysis: cost structures, unit economics, margins, and working capital</w:t>
      </w:r>
    </w:p>
    <w:p>
      <w:pPr>
        <w:pStyle w:val="ListParagraph"/>
        <w:numPr>
          <w:ilvl w:val="0"/>
          <w:numId w:val="2"/>
        </w:numPr>
        <w:spacing w:after="60"/>
      </w:pPr>
      <w:r>
        <w:rPr>
          <w:rFonts w:ascii="Times New Roman" w:cs="Times New Roman" w:eastAsia="Times New Roman" w:hAnsi="Times New Roman"/>
          <w:sz w:val="22"/>
          <w:szCs w:val="22"/>
        </w:rPr>
        <w:t xml:space="preserve">Understanding of P&amp;L and cash flow, and the ability to quantify the financial impact of operational decisions</w:t>
      </w:r>
    </w:p>
    <w:p>
      <w:pPr>
        <w:pStyle w:val="ListParagraph"/>
        <w:numPr>
          <w:ilvl w:val="0"/>
          <w:numId w:val="2"/>
        </w:numPr>
        <w:spacing w:after="60"/>
      </w:pPr>
      <w:r>
        <w:rPr>
          <w:rFonts w:ascii="Times New Roman" w:cs="Times New Roman" w:eastAsia="Times New Roman" w:hAnsi="Times New Roman"/>
          <w:sz w:val="22"/>
          <w:szCs w:val="22"/>
        </w:rPr>
        <w:t xml:space="preserve">Proficiency in Excel/Google Sheets and familiarity with Tally, GST, and TDS; comfort with no-code/low-code tools and basic web technologies</w:t>
      </w:r>
    </w:p>
    <w:p>
      <w:pPr>
        <w:pStyle w:val="ListParagraph"/>
        <w:numPr>
          <w:ilvl w:val="0"/>
          <w:numId w:val="2"/>
        </w:numPr>
        <w:spacing w:after="60"/>
      </w:pPr>
      <w:r>
        <w:rPr>
          <w:rFonts w:ascii="Times New Roman" w:cs="Times New Roman" w:eastAsia="Times New Roman" w:hAnsi="Times New Roman"/>
          <w:sz w:val="22"/>
          <w:szCs w:val="22"/>
        </w:rPr>
        <w:t xml:space="preserve">Clear written and verbal communication, with the ability to present problems and solutions to senior leadership</w:t>
      </w:r>
    </w:p>
    <w:p>
      <w:pPr>
        <w:spacing w:after="80" w:before="240"/>
      </w:pPr>
      <w:r>
        <w:rPr>
          <w:rFonts w:ascii="Times New Roman" w:cs="Times New Roman" w:eastAsia="Times New Roman" w:hAnsi="Times New Roman"/>
          <w:b/>
          <w:bCs/>
          <w:sz w:val="26"/>
          <w:szCs w:val="26"/>
        </w:rPr>
        <w:t xml:space="preserve">Key Responsibilities</w:t>
      </w:r>
    </w:p>
    <w:p>
      <w:pPr>
        <w:spacing w:after="60" w:before="160"/>
      </w:pPr>
      <w:r>
        <w:rPr>
          <w:rFonts w:ascii="Times New Roman" w:cs="Times New Roman" w:eastAsia="Times New Roman" w:hAnsi="Times New Roman"/>
          <w:b/>
          <w:bCs/>
          <w:sz w:val="23"/>
          <w:szCs w:val="23"/>
        </w:rPr>
        <w:t xml:space="preserve">Product Management</w:t>
      </w:r>
    </w:p>
    <w:p>
      <w:pPr>
        <w:pStyle w:val="ListParagraph"/>
        <w:numPr>
          <w:ilvl w:val="0"/>
          <w:numId w:val="2"/>
        </w:numPr>
        <w:spacing w:after="60"/>
      </w:pPr>
      <w:r>
        <w:rPr>
          <w:rFonts w:ascii="Times New Roman" w:cs="Times New Roman" w:eastAsia="Times New Roman" w:hAnsi="Times New Roman"/>
          <w:sz w:val="22"/>
          <w:szCs w:val="22"/>
        </w:rPr>
        <w:t xml:space="preserve">Identify high-friction, manual, or error-prone processes across functions and prioritise them by business impact</w:t>
      </w:r>
    </w:p>
    <w:p>
      <w:pPr>
        <w:pStyle w:val="ListParagraph"/>
        <w:numPr>
          <w:ilvl w:val="0"/>
          <w:numId w:val="2"/>
        </w:numPr>
        <w:spacing w:after="60"/>
      </w:pPr>
      <w:r>
        <w:rPr>
          <w:rFonts w:ascii="Times New Roman" w:cs="Times New Roman" w:eastAsia="Times New Roman" w:hAnsi="Times New Roman"/>
          <w:sz w:val="22"/>
          <w:szCs w:val="22"/>
        </w:rPr>
        <w:t xml:space="preserve">Write clear requirements and business rules before anything is built</w:t>
      </w:r>
    </w:p>
    <w:p>
      <w:pPr>
        <w:pStyle w:val="ListParagraph"/>
        <w:numPr>
          <w:ilvl w:val="0"/>
          <w:numId w:val="2"/>
        </w:numPr>
        <w:spacing w:after="60"/>
      </w:pPr>
      <w:r>
        <w:rPr>
          <w:rFonts w:ascii="Times New Roman" w:cs="Times New Roman" w:eastAsia="Times New Roman" w:hAnsi="Times New Roman"/>
          <w:sz w:val="22"/>
          <w:szCs w:val="22"/>
        </w:rPr>
        <w:t xml:space="preserve">Own the roadmap for internal tools and digital workflows, from first version through ongoing iteration</w:t>
      </w:r>
    </w:p>
    <w:p>
      <w:pPr>
        <w:pStyle w:val="ListParagraph"/>
        <w:numPr>
          <w:ilvl w:val="0"/>
          <w:numId w:val="2"/>
        </w:numPr>
        <w:spacing w:after="60"/>
      </w:pPr>
      <w:r>
        <w:rPr>
          <w:rFonts w:ascii="Times New Roman" w:cs="Times New Roman" w:eastAsia="Times New Roman" w:hAnsi="Times New Roman"/>
          <w:sz w:val="22"/>
          <w:szCs w:val="22"/>
        </w:rPr>
        <w:t xml:space="preserve">Define success metrics (time saved, errors eliminated, adoption) and track them after launch</w:t>
      </w:r>
    </w:p>
    <w:p>
      <w:pPr>
        <w:pStyle w:val="ListParagraph"/>
        <w:numPr>
          <w:ilvl w:val="0"/>
          <w:numId w:val="2"/>
        </w:numPr>
        <w:spacing w:after="60"/>
      </w:pPr>
      <w:r>
        <w:rPr>
          <w:rFonts w:ascii="Times New Roman" w:cs="Times New Roman" w:eastAsia="Times New Roman" w:hAnsi="Times New Roman"/>
          <w:sz w:val="22"/>
          <w:szCs w:val="22"/>
        </w:rPr>
        <w:t xml:space="preserve">Keep tools accurate as company policy, statutory rates, or business conditions change</w:t>
      </w:r>
    </w:p>
    <w:p>
      <w:pPr>
        <w:spacing w:after="60" w:before="160"/>
      </w:pPr>
      <w:r>
        <w:rPr>
          <w:rFonts w:ascii="Times New Roman" w:cs="Times New Roman" w:eastAsia="Times New Roman" w:hAnsi="Times New Roman"/>
          <w:b/>
          <w:bCs/>
          <w:sz w:val="23"/>
          <w:szCs w:val="23"/>
        </w:rPr>
        <w:t xml:space="preserve">Operations</w:t>
      </w:r>
    </w:p>
    <w:p>
      <w:pPr>
        <w:pStyle w:val="ListParagraph"/>
        <w:numPr>
          <w:ilvl w:val="0"/>
          <w:numId w:val="2"/>
        </w:numPr>
        <w:spacing w:after="60"/>
      </w:pPr>
      <w:r>
        <w:rPr>
          <w:rFonts w:ascii="Times New Roman" w:cs="Times New Roman" w:eastAsia="Times New Roman" w:hAnsi="Times New Roman"/>
          <w:sz w:val="22"/>
          <w:szCs w:val="22"/>
        </w:rPr>
        <w:t xml:space="preserve">Document and standardise core processes across HR, procurement, production, quality, and dispatch</w:t>
      </w:r>
    </w:p>
    <w:p>
      <w:pPr>
        <w:pStyle w:val="ListParagraph"/>
        <w:numPr>
          <w:ilvl w:val="0"/>
          <w:numId w:val="2"/>
        </w:numPr>
        <w:spacing w:after="60"/>
      </w:pPr>
      <w:r>
        <w:rPr>
          <w:rFonts w:ascii="Times New Roman" w:cs="Times New Roman" w:eastAsia="Times New Roman" w:hAnsi="Times New Roman"/>
          <w:sz w:val="22"/>
          <w:szCs w:val="22"/>
        </w:rPr>
        <w:t xml:space="preserve">Own HR and payroll operations frameworks, including compensation structuring, offer documentation, and statutory compliance checks</w:t>
      </w:r>
    </w:p>
    <w:p>
      <w:pPr>
        <w:pStyle w:val="ListParagraph"/>
        <w:numPr>
          <w:ilvl w:val="0"/>
          <w:numId w:val="2"/>
        </w:numPr>
        <w:spacing w:after="60"/>
      </w:pPr>
      <w:r>
        <w:rPr>
          <w:rFonts w:ascii="Times New Roman" w:cs="Times New Roman" w:eastAsia="Times New Roman" w:hAnsi="Times New Roman"/>
          <w:sz w:val="22"/>
          <w:szCs w:val="22"/>
        </w:rPr>
        <w:t xml:space="preserve">Act as the bridge between leadership intent and day-to-day execution</w:t>
      </w:r>
    </w:p>
    <w:p>
      <w:pPr>
        <w:spacing w:after="60" w:before="160"/>
      </w:pPr>
      <w:r>
        <w:rPr>
          <w:rFonts w:ascii="Times New Roman" w:cs="Times New Roman" w:eastAsia="Times New Roman" w:hAnsi="Times New Roman"/>
          <w:b/>
          <w:bCs/>
          <w:sz w:val="23"/>
          <w:szCs w:val="23"/>
        </w:rPr>
        <w:t xml:space="preserve">Finance &amp; Cost Control</w:t>
      </w:r>
    </w:p>
    <w:p>
      <w:pPr>
        <w:pStyle w:val="ListParagraph"/>
        <w:numPr>
          <w:ilvl w:val="0"/>
          <w:numId w:val="2"/>
        </w:numPr>
        <w:spacing w:after="60"/>
      </w:pPr>
      <w:r>
        <w:rPr>
          <w:rFonts w:ascii="Times New Roman" w:cs="Times New Roman" w:eastAsia="Times New Roman" w:hAnsi="Times New Roman"/>
          <w:sz w:val="22"/>
          <w:szCs w:val="22"/>
        </w:rPr>
        <w:t xml:space="preserve">Build and maintain cost models for products, SKUs, and customers, including raw material, packaging, freight, and manpower costs</w:t>
      </w:r>
    </w:p>
    <w:p>
      <w:pPr>
        <w:pStyle w:val="ListParagraph"/>
        <w:numPr>
          <w:ilvl w:val="0"/>
          <w:numId w:val="2"/>
        </w:numPr>
        <w:spacing w:after="60"/>
      </w:pPr>
      <w:r>
        <w:rPr>
          <w:rFonts w:ascii="Times New Roman" w:cs="Times New Roman" w:eastAsia="Times New Roman" w:hAnsi="Times New Roman"/>
          <w:sz w:val="22"/>
          <w:szCs w:val="22"/>
        </w:rPr>
        <w:t xml:space="preserve">Track gross margin by product and channel, and flag pricing or cost changes that erode it</w:t>
      </w:r>
    </w:p>
    <w:p>
      <w:pPr>
        <w:pStyle w:val="ListParagraph"/>
        <w:numPr>
          <w:ilvl w:val="0"/>
          <w:numId w:val="2"/>
        </w:numPr>
        <w:spacing w:after="60"/>
      </w:pPr>
      <w:r>
        <w:rPr>
          <w:rFonts w:ascii="Times New Roman" w:cs="Times New Roman" w:eastAsia="Times New Roman" w:hAnsi="Times New Roman"/>
          <w:sz w:val="22"/>
          <w:szCs w:val="22"/>
        </w:rPr>
        <w:t xml:space="preserve">Support the CEO with P&amp;L analysis, budgeting, and cash flow forecasting</w:t>
      </w:r>
    </w:p>
    <w:p>
      <w:pPr>
        <w:pStyle w:val="ListParagraph"/>
        <w:numPr>
          <w:ilvl w:val="0"/>
          <w:numId w:val="2"/>
        </w:numPr>
        <w:spacing w:after="60"/>
      </w:pPr>
      <w:r>
        <w:rPr>
          <w:rFonts w:ascii="Times New Roman" w:cs="Times New Roman" w:eastAsia="Times New Roman" w:hAnsi="Times New Roman"/>
          <w:sz w:val="22"/>
          <w:szCs w:val="22"/>
        </w:rPr>
        <w:t xml:space="preserve">Model manpower cost and compensation structures (cost-to-company vs take-home) to support hiring and salary decisions</w:t>
      </w:r>
    </w:p>
    <w:p>
      <w:pPr>
        <w:pStyle w:val="ListParagraph"/>
        <w:numPr>
          <w:ilvl w:val="0"/>
          <w:numId w:val="2"/>
        </w:numPr>
        <w:spacing w:after="60"/>
      </w:pPr>
      <w:r>
        <w:rPr>
          <w:rFonts w:ascii="Times New Roman" w:cs="Times New Roman" w:eastAsia="Times New Roman" w:hAnsi="Times New Roman"/>
          <w:sz w:val="22"/>
          <w:szCs w:val="22"/>
        </w:rPr>
        <w:t xml:space="preserve">Monitor working capital drivers, including inventory levels, receivables, and payables, and recommend actions to free up cash</w:t>
      </w:r>
    </w:p>
    <w:p>
      <w:pPr>
        <w:pStyle w:val="ListParagraph"/>
        <w:numPr>
          <w:ilvl w:val="0"/>
          <w:numId w:val="2"/>
        </w:numPr>
        <w:spacing w:after="60"/>
      </w:pPr>
      <w:r>
        <w:rPr>
          <w:rFonts w:ascii="Times New Roman" w:cs="Times New Roman" w:eastAsia="Times New Roman" w:hAnsi="Times New Roman"/>
          <w:sz w:val="22"/>
          <w:szCs w:val="22"/>
        </w:rPr>
        <w:t xml:space="preserve">Build ROI cases for new tools, processes, vendors, and investments before they are approved</w:t>
      </w:r>
    </w:p>
    <w:p>
      <w:pPr>
        <w:spacing w:after="60" w:before="160"/>
      </w:pPr>
      <w:r>
        <w:rPr>
          <w:rFonts w:ascii="Times New Roman" w:cs="Times New Roman" w:eastAsia="Times New Roman" w:hAnsi="Times New Roman"/>
          <w:b/>
          <w:bCs/>
          <w:sz w:val="23"/>
          <w:szCs w:val="23"/>
        </w:rPr>
        <w:t xml:space="preserve">Cross-Functional Coordination</w:t>
      </w:r>
    </w:p>
    <w:p>
      <w:pPr>
        <w:pStyle w:val="ListParagraph"/>
        <w:numPr>
          <w:ilvl w:val="0"/>
          <w:numId w:val="2"/>
        </w:numPr>
        <w:spacing w:after="60"/>
      </w:pPr>
      <w:r>
        <w:rPr>
          <w:rFonts w:ascii="Times New Roman" w:cs="Times New Roman" w:eastAsia="Times New Roman" w:hAnsi="Times New Roman"/>
          <w:sz w:val="22"/>
          <w:szCs w:val="22"/>
        </w:rPr>
        <w:t xml:space="preserve">Work with the CEO, HR, finance, sales, and production to gather requirements and validate solutions</w:t>
      </w:r>
    </w:p>
    <w:p>
      <w:pPr>
        <w:pStyle w:val="ListParagraph"/>
        <w:numPr>
          <w:ilvl w:val="0"/>
          <w:numId w:val="2"/>
        </w:numPr>
        <w:spacing w:after="60"/>
      </w:pPr>
      <w:r>
        <w:rPr>
          <w:rFonts w:ascii="Times New Roman" w:cs="Times New Roman" w:eastAsia="Times New Roman" w:hAnsi="Times New Roman"/>
          <w:sz w:val="22"/>
          <w:szCs w:val="22"/>
        </w:rPr>
        <w:t xml:space="preserve">Train users on new tools and processes and capture feedback for the next iteration</w:t>
      </w:r>
    </w:p>
    <w:p>
      <w:pPr>
        <w:pStyle w:val="ListParagraph"/>
        <w:numPr>
          <w:ilvl w:val="0"/>
          <w:numId w:val="2"/>
        </w:numPr>
        <w:spacing w:after="60"/>
      </w:pPr>
      <w:r>
        <w:rPr>
          <w:rFonts w:ascii="Times New Roman" w:cs="Times New Roman" w:eastAsia="Times New Roman" w:hAnsi="Times New Roman"/>
          <w:sz w:val="22"/>
          <w:szCs w:val="22"/>
        </w:rPr>
        <w:t xml:space="preserve">Evaluate and manage external vendors or software where building in-house is not the right answer</w:t>
      </w:r>
    </w:p>
    <w:p>
      <w:pPr>
        <w:spacing w:after="80" w:before="240"/>
      </w:pPr>
      <w:r>
        <w:rPr>
          <w:rFonts w:ascii="Times New Roman" w:cs="Times New Roman" w:eastAsia="Times New Roman" w:hAnsi="Times New Roman"/>
          <w:b/>
          <w:bCs/>
          <w:sz w:val="26"/>
          <w:szCs w:val="26"/>
        </w:rPr>
        <w:t xml:space="preserve">Work Delivered to Date</w:t>
      </w:r>
    </w:p>
    <w:p>
      <w:pPr>
        <w:pStyle w:val="ListParagraph"/>
        <w:numPr>
          <w:ilvl w:val="0"/>
          <w:numId w:val="2"/>
        </w:numPr>
        <w:spacing w:after="60"/>
      </w:pPr>
      <w:r>
        <w:rPr>
          <w:rFonts w:ascii="Times New Roman" w:cs="Times New Roman" w:eastAsia="Times New Roman" w:hAnsi="Times New Roman"/>
          <w:sz w:val="22"/>
          <w:szCs w:val="22"/>
        </w:rPr>
        <w:t xml:space="preserve">Defined the need for a standard salary-structuring process to replace inconsistent, manual CTC breakups</w:t>
      </w:r>
    </w:p>
    <w:p>
      <w:pPr>
        <w:pStyle w:val="ListParagraph"/>
        <w:numPr>
          <w:ilvl w:val="0"/>
          <w:numId w:val="2"/>
        </w:numPr>
        <w:spacing w:after="60"/>
      </w:pPr>
      <w:r>
        <w:rPr>
          <w:rFonts w:ascii="Times New Roman" w:cs="Times New Roman" w:eastAsia="Times New Roman" w:hAnsi="Times New Roman"/>
          <w:sz w:val="22"/>
          <w:szCs w:val="22"/>
        </w:rPr>
        <w:t xml:space="preserve">Translated compensation policy into rules: 75% fixed / 25% variable split; Basic, HRA, LTA, and balancing allowance</w:t>
      </w:r>
    </w:p>
    <w:p>
      <w:pPr>
        <w:pStyle w:val="ListParagraph"/>
        <w:numPr>
          <w:ilvl w:val="0"/>
          <w:numId w:val="2"/>
        </w:numPr>
        <w:spacing w:after="60"/>
      </w:pPr>
      <w:r>
        <w:rPr>
          <w:rFonts w:ascii="Times New Roman" w:cs="Times New Roman" w:eastAsia="Times New Roman" w:hAnsi="Times New Roman"/>
          <w:sz w:val="22"/>
          <w:szCs w:val="22"/>
        </w:rPr>
        <w:t xml:space="preserve">Built statutory logic for PF (with wage ceiling), ESIC (with eligibility threshold), EPF admin charges, EDLI, LWF, and Professional Tax</w:t>
      </w:r>
    </w:p>
    <w:p>
      <w:pPr>
        <w:pStyle w:val="ListParagraph"/>
        <w:numPr>
          <w:ilvl w:val="0"/>
          <w:numId w:val="2"/>
        </w:numPr>
        <w:spacing w:after="60"/>
      </w:pPr>
      <w:r>
        <w:rPr>
          <w:rFonts w:ascii="Times New Roman" w:cs="Times New Roman" w:eastAsia="Times New Roman" w:hAnsi="Times New Roman"/>
          <w:sz w:val="22"/>
          <w:szCs w:val="22"/>
        </w:rPr>
        <w:t xml:space="preserve">Structured the model so total employer cost stays within the agreed CTC, giving finance an accurate manpower cost per hire and separating cost-to-company from take-home</w:t>
      </w:r>
    </w:p>
    <w:p>
      <w:pPr>
        <w:pStyle w:val="ListParagraph"/>
        <w:numPr>
          <w:ilvl w:val="0"/>
          <w:numId w:val="2"/>
        </w:numPr>
        <w:spacing w:after="60"/>
      </w:pPr>
      <w:r>
        <w:rPr>
          <w:rFonts w:ascii="Times New Roman" w:cs="Times New Roman" w:eastAsia="Times New Roman" w:hAnsi="Times New Roman"/>
          <w:sz w:val="22"/>
          <w:szCs w:val="22"/>
        </w:rPr>
        <w:t xml:space="preserve">Delivered a browser-based tool with real-time calculation, print, and one-click single-page A4 PDF, requiring no installation or software cost</w:t>
      </w:r>
    </w:p>
    <w:p>
      <w:pPr>
        <w:pStyle w:val="ListParagraph"/>
        <w:numPr>
          <w:ilvl w:val="0"/>
          <w:numId w:val="2"/>
        </w:numPr>
        <w:spacing w:after="60"/>
      </w:pPr>
      <w:r>
        <w:rPr>
          <w:rFonts w:ascii="Times New Roman" w:cs="Times New Roman" w:eastAsia="Times New Roman" w:hAnsi="Times New Roman"/>
          <w:sz w:val="22"/>
          <w:szCs w:val="22"/>
        </w:rPr>
        <w:t xml:space="preserve">Applied company branding and refined layout across multiple reviewed, version-controlled releases</w:t>
      </w:r>
    </w:p>
    <w:p>
      <w:pPr>
        <w:spacing w:after="80" w:before="240"/>
      </w:pPr>
      <w:r>
        <w:rPr>
          <w:rFonts w:ascii="Times New Roman" w:cs="Times New Roman" w:eastAsia="Times New Roman" w:hAnsi="Times New Roman"/>
          <w:b/>
          <w:bCs/>
          <w:sz w:val="26"/>
          <w:szCs w:val="26"/>
        </w:rPr>
        <w:t xml:space="preserve">What Success Looks Like in 12 Months</w:t>
      </w:r>
    </w:p>
    <w:p>
      <w:pPr>
        <w:pStyle w:val="ListParagraph"/>
        <w:numPr>
          <w:ilvl w:val="0"/>
          <w:numId w:val="2"/>
        </w:numPr>
        <w:spacing w:after="60"/>
      </w:pPr>
      <w:r>
        <w:rPr>
          <w:rFonts w:ascii="Times New Roman" w:cs="Times New Roman" w:eastAsia="Times New Roman" w:hAnsi="Times New Roman"/>
          <w:sz w:val="22"/>
          <w:szCs w:val="22"/>
        </w:rPr>
        <w:t xml:space="preserve">At least 3 additional processes moved from manual handling to standardised tools or SOPs</w:t>
      </w:r>
    </w:p>
    <w:p>
      <w:pPr>
        <w:pStyle w:val="ListParagraph"/>
        <w:numPr>
          <w:ilvl w:val="0"/>
          <w:numId w:val="2"/>
        </w:numPr>
        <w:spacing w:after="60"/>
      </w:pPr>
      <w:r>
        <w:rPr>
          <w:rFonts w:ascii="Times New Roman" w:cs="Times New Roman" w:eastAsia="Times New Roman" w:hAnsi="Times New Roman"/>
          <w:sz w:val="22"/>
          <w:szCs w:val="22"/>
        </w:rPr>
        <w:t xml:space="preserve">Zero calculation errors in salary structures issued through the calculator</w:t>
      </w:r>
    </w:p>
    <w:p>
      <w:pPr>
        <w:pStyle w:val="ListParagraph"/>
        <w:numPr>
          <w:ilvl w:val="0"/>
          <w:numId w:val="2"/>
        </w:numPr>
        <w:spacing w:after="60"/>
      </w:pPr>
      <w:r>
        <w:rPr>
          <w:rFonts w:ascii="Times New Roman" w:cs="Times New Roman" w:eastAsia="Times New Roman" w:hAnsi="Times New Roman"/>
          <w:sz w:val="22"/>
          <w:szCs w:val="22"/>
        </w:rPr>
        <w:t xml:space="preserve">A documented SOP library for core functions (HR, procurement, dispatch, quality)</w:t>
      </w:r>
    </w:p>
    <w:p>
      <w:pPr>
        <w:pStyle w:val="ListParagraph"/>
        <w:numPr>
          <w:ilvl w:val="0"/>
          <w:numId w:val="2"/>
        </w:numPr>
        <w:spacing w:after="60"/>
      </w:pPr>
      <w:r>
        <w:rPr>
          <w:rFonts w:ascii="Times New Roman" w:cs="Times New Roman" w:eastAsia="Times New Roman" w:hAnsi="Times New Roman"/>
          <w:sz w:val="22"/>
          <w:szCs w:val="22"/>
        </w:rPr>
        <w:t xml:space="preserve">Product-wise and channel-wise margin visibility, reviewed monthly with the CEO</w:t>
      </w:r>
    </w:p>
    <w:p>
      <w:pPr>
        <w:pStyle w:val="ListParagraph"/>
        <w:numPr>
          <w:ilvl w:val="0"/>
          <w:numId w:val="2"/>
        </w:numPr>
        <w:spacing w:after="60"/>
      </w:pPr>
      <w:r>
        <w:rPr>
          <w:rFonts w:ascii="Times New Roman" w:cs="Times New Roman" w:eastAsia="Times New Roman" w:hAnsi="Times New Roman"/>
          <w:sz w:val="22"/>
          <w:szCs w:val="22"/>
        </w:rPr>
        <w:t xml:space="preserve">A live operations and finance dashboard covering cost, margin, working capital, and key business metrics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2026-10-16T10:40:00.485Z</dcterms:created>
  <dcterms:modified xsi:type="dcterms:W3CDTF">2026-10-16T10:40:00.486Z</dcterms:modified>
</cp:coreProperties>
</file>

<file path=docProps/custom.xml><?xml version="1.0" encoding="utf-8"?>
<Properties xmlns="http://schemas.openxmlformats.org/officeDocument/2006/custom-properties" xmlns:vt="http://schemas.openxmlformats.org/officeDocument/2006/docPropsVTypes"/>
</file>