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56"/>
        </w:rPr>
        <w:t>TECHNICAL ANALYSIS</w:t>
      </w:r>
    </w:p>
    <w:p>
      <w:pPr>
        <w:jc w:val="center"/>
      </w:pPr>
      <w:r>
        <w:rPr>
          <w:rFonts w:ascii="Times New Roman" w:hAnsi="Times New Roman"/>
          <w:b/>
          <w:color w:val="505050"/>
          <w:sz w:val="40"/>
        </w:rPr>
        <w:t>Chart Pattern Recognition</w:t>
      </w:r>
    </w:p>
    <w:p/>
    <w:p>
      <w:pPr>
        <w:jc w:val="center"/>
      </w:pPr>
      <w:r>
        <w:drawing>
          <wp:inline xmlns:a="http://schemas.openxmlformats.org/drawingml/2006/main" xmlns:pic="http://schemas.openxmlformats.org/drawingml/2006/picture">
            <wp:extent cx="1828800" cy="1539526"/>
            <wp:docPr id="1" name="Picture 1"/>
            <wp:cNvGraphicFramePr>
              <a:graphicFrameLocks noChangeAspect="1"/>
            </wp:cNvGraphicFramePr>
            <a:graphic>
              <a:graphicData uri="http://schemas.openxmlformats.org/drawingml/2006/picture">
                <pic:pic>
                  <pic:nvPicPr>
                    <pic:cNvPr id="0" name="img-000.png"/>
                    <pic:cNvPicPr/>
                  </pic:nvPicPr>
                  <pic:blipFill>
                    <a:blip r:embed="rId9"/>
                    <a:stretch>
                      <a:fillRect/>
                    </a:stretch>
                  </pic:blipFill>
                  <pic:spPr>
                    <a:xfrm>
                      <a:off x="0" y="0"/>
                      <a:ext cx="1828800" cy="1539526"/>
                    </a:xfrm>
                    <a:prstGeom prst="rect"/>
                  </pic:spPr>
                </pic:pic>
              </a:graphicData>
            </a:graphic>
          </wp:inline>
        </w:drawing>
      </w:r>
    </w:p>
    <w:p/>
    <w:p>
      <w:pPr>
        <w:jc w:val="right"/>
      </w:pPr>
      <w:r>
        <w:rPr>
          <w:rFonts w:ascii="Times New Roman" w:hAnsi="Times New Roman"/>
          <w:b/>
          <w:sz w:val="26"/>
        </w:rPr>
        <w:t>Submitted To:</w:t>
      </w:r>
    </w:p>
    <w:p>
      <w:pPr>
        <w:jc w:val="right"/>
      </w:pPr>
      <w:r>
        <w:rPr>
          <w:rFonts w:ascii="Times New Roman" w:hAnsi="Times New Roman"/>
          <w:b w:val="0"/>
          <w:sz w:val="24"/>
        </w:rPr>
        <w:t>Prof. Satyaprakash Tiwari</w:t>
      </w:r>
    </w:p>
    <w:p>
      <w:pPr>
        <w:jc w:val="right"/>
      </w:pPr>
      <w:r>
        <w:rPr>
          <w:rFonts w:ascii="Times New Roman" w:hAnsi="Times New Roman"/>
          <w:b w:val="0"/>
          <w:sz w:val="24"/>
        </w:rPr>
      </w:r>
    </w:p>
    <w:p>
      <w:pPr>
        <w:jc w:val="right"/>
      </w:pPr>
      <w:r>
        <w:rPr>
          <w:rFonts w:ascii="Times New Roman" w:hAnsi="Times New Roman"/>
          <w:b/>
          <w:sz w:val="26"/>
        </w:rPr>
        <w:t>Submitted By:</w:t>
      </w:r>
    </w:p>
    <w:p>
      <w:pPr>
        <w:jc w:val="right"/>
      </w:pPr>
      <w:r>
        <w:rPr>
          <w:rFonts w:ascii="Times New Roman" w:hAnsi="Times New Roman"/>
          <w:b w:val="0"/>
          <w:sz w:val="24"/>
        </w:rPr>
        <w:t>Trevor Dcosta</w:t>
      </w:r>
    </w:p>
    <w:p>
      <w:pPr>
        <w:jc w:val="right"/>
      </w:pPr>
      <w:r>
        <w:rPr>
          <w:rFonts w:ascii="Times New Roman" w:hAnsi="Times New Roman"/>
          <w:b w:val="0"/>
          <w:sz w:val="24"/>
        </w:rPr>
        <w:t>Roll No: MSF07</w:t>
      </w:r>
    </w:p>
    <w:p>
      <w:pPr>
        <w:jc w:val="right"/>
      </w:pPr>
      <w:r>
        <w:rPr>
          <w:rFonts w:ascii="Times New Roman" w:hAnsi="Times New Roman"/>
          <w:b w:val="0"/>
          <w:sz w:val="24"/>
        </w:rPr>
      </w:r>
    </w:p>
    <w:p>
      <w:pPr>
        <w:jc w:val="right"/>
      </w:pPr>
      <w:r>
        <w:rPr>
          <w:rFonts w:ascii="Times New Roman" w:hAnsi="Times New Roman"/>
          <w:b w:val="0"/>
          <w:sz w:val="24"/>
        </w:rPr>
        <w:t>Sydenham Institute of Management Studies,</w:t>
      </w:r>
    </w:p>
    <w:p>
      <w:pPr>
        <w:jc w:val="right"/>
      </w:pPr>
      <w:r>
        <w:rPr>
          <w:rFonts w:ascii="Times New Roman" w:hAnsi="Times New Roman"/>
          <w:b w:val="0"/>
          <w:sz w:val="24"/>
        </w:rPr>
        <w:t>Research and Entrepreneurship Education (SIMSREE)</w:t>
      </w:r>
    </w:p>
    <w:p>
      <w:pPr>
        <w:jc w:val="right"/>
      </w:pPr>
      <w:r>
        <w:rPr>
          <w:rFonts w:ascii="Times New Roman" w:hAnsi="Times New Roman"/>
          <w:b w:val="0"/>
          <w:sz w:val="24"/>
        </w:rPr>
        <w:t>Semester 3 — Technical Analysis</w:t>
      </w:r>
    </w:p>
    <w:p>
      <w:r>
        <w:br w:type="page"/>
      </w:r>
    </w:p>
    <w:p>
      <w:pPr>
        <w:jc w:val="center"/>
      </w:pPr>
      <w:r>
        <w:rPr>
          <w:rFonts w:ascii="Times New Roman" w:hAnsi="Times New Roman"/>
          <w:b/>
          <w:sz w:val="36"/>
        </w:rPr>
        <w:t>TABLE OF CONTENTS</w:t>
      </w:r>
    </w:p>
    <w:p/>
    <w:p>
      <w:r>
        <w:rPr>
          <w:rFonts w:ascii="Times New Roman" w:hAnsi="Times New Roman"/>
          <w:sz w:val="26"/>
        </w:rPr>
        <w:t>1.  Double Top</w:t>
      </w:r>
      <w:r>
        <w:rPr>
          <w:color w:val="646464"/>
          <w:sz w:val="22"/>
        </w:rPr>
        <w:t xml:space="preserve">  —  Axis Bank Ltd. (Monthly)</w:t>
      </w:r>
    </w:p>
    <w:p>
      <w:r>
        <w:rPr>
          <w:rFonts w:ascii="Times New Roman" w:hAnsi="Times New Roman"/>
          <w:sz w:val="26"/>
        </w:rPr>
        <w:t>2.  Double Bottom</w:t>
      </w:r>
      <w:r>
        <w:rPr>
          <w:color w:val="646464"/>
          <w:sz w:val="22"/>
        </w:rPr>
        <w:t xml:space="preserve">  —  SBI Life Insurance Co. Ltd. (Daily)</w:t>
      </w:r>
    </w:p>
    <w:p>
      <w:r>
        <w:rPr>
          <w:rFonts w:ascii="Times New Roman" w:hAnsi="Times New Roman"/>
          <w:sz w:val="26"/>
        </w:rPr>
        <w:t>3.  Triple Top</w:t>
      </w:r>
      <w:r>
        <w:rPr>
          <w:color w:val="646464"/>
          <w:sz w:val="22"/>
        </w:rPr>
        <w:t xml:space="preserve">  —  Tata Technologies Ltd. (1 Hour)</w:t>
      </w:r>
    </w:p>
    <w:p>
      <w:r>
        <w:rPr>
          <w:rFonts w:ascii="Times New Roman" w:hAnsi="Times New Roman"/>
          <w:sz w:val="26"/>
        </w:rPr>
        <w:t>4.  Triple Bottom</w:t>
      </w:r>
      <w:r>
        <w:rPr>
          <w:color w:val="646464"/>
          <w:sz w:val="22"/>
        </w:rPr>
        <w:t xml:space="preserve">  —  Infosys Ltd. (Daily)</w:t>
      </w:r>
    </w:p>
    <w:p>
      <w:r>
        <w:rPr>
          <w:rFonts w:ascii="Times New Roman" w:hAnsi="Times New Roman"/>
          <w:sz w:val="26"/>
        </w:rPr>
        <w:t>5.  Rectangle (Box)</w:t>
      </w:r>
      <w:r>
        <w:rPr>
          <w:color w:val="646464"/>
          <w:sz w:val="22"/>
        </w:rPr>
        <w:t xml:space="preserve">  —  Genus Power Infra Ltd. (Daily)</w:t>
      </w:r>
    </w:p>
    <w:p>
      <w:r>
        <w:rPr>
          <w:rFonts w:ascii="Times New Roman" w:hAnsi="Times New Roman"/>
          <w:sz w:val="26"/>
        </w:rPr>
        <w:t>6.  Descending Triangle</w:t>
      </w:r>
      <w:r>
        <w:rPr>
          <w:color w:val="646464"/>
          <w:sz w:val="22"/>
        </w:rPr>
        <w:t xml:space="preserve">  —  Bharti Airtel Ltd. (2 Hour)</w:t>
      </w:r>
    </w:p>
    <w:p>
      <w:r>
        <w:rPr>
          <w:rFonts w:ascii="Times New Roman" w:hAnsi="Times New Roman"/>
          <w:sz w:val="26"/>
        </w:rPr>
        <w:t>7.  Ascending Triangle</w:t>
      </w:r>
      <w:r>
        <w:rPr>
          <w:color w:val="646464"/>
          <w:sz w:val="22"/>
        </w:rPr>
        <w:t xml:space="preserve">  —  Bharat Petroleum Corp. Ltd. (Daily)</w:t>
      </w:r>
    </w:p>
    <w:p>
      <w:r>
        <w:rPr>
          <w:rFonts w:ascii="Times New Roman" w:hAnsi="Times New Roman"/>
          <w:sz w:val="26"/>
        </w:rPr>
        <w:t>8.  Symmetrical Triangle</w:t>
      </w:r>
      <w:r>
        <w:rPr>
          <w:color w:val="646464"/>
          <w:sz w:val="22"/>
        </w:rPr>
        <w:t xml:space="preserve">  —  Maruti Suzuki India Ltd. (Daily)</w:t>
      </w:r>
    </w:p>
    <w:p>
      <w:r>
        <w:rPr>
          <w:rFonts w:ascii="Times New Roman" w:hAnsi="Times New Roman"/>
          <w:sz w:val="26"/>
        </w:rPr>
        <w:t>9.  Diamond Top</w:t>
      </w:r>
      <w:r>
        <w:rPr>
          <w:color w:val="646464"/>
          <w:sz w:val="22"/>
        </w:rPr>
        <w:t xml:space="preserve">  —  Coforge Ltd. (Daily)</w:t>
      </w:r>
    </w:p>
    <w:p>
      <w:r>
        <w:rPr>
          <w:rFonts w:ascii="Times New Roman" w:hAnsi="Times New Roman"/>
          <w:sz w:val="26"/>
        </w:rPr>
        <w:t>10.  Wedge</w:t>
      </w:r>
      <w:r>
        <w:rPr>
          <w:color w:val="646464"/>
          <w:sz w:val="22"/>
        </w:rPr>
        <w:t xml:space="preserve">  —  Tata Motors Ltd. (4 Hour)</w:t>
      </w:r>
    </w:p>
    <w:p>
      <w:r>
        <w:br w:type="page"/>
      </w:r>
    </w:p>
    <w:p>
      <w:pPr>
        <w:pStyle w:val="Heading1"/>
      </w:pPr>
      <w:r>
        <w:rPr>
          <w:color w:val="000000"/>
        </w:rPr>
        <w:t>1.  Double Top</w:t>
      </w:r>
    </w:p>
    <w:p>
      <w:pPr>
        <w:jc w:val="left"/>
      </w:pPr>
      <w:r>
        <w:rPr>
          <w:i/>
          <w:color w:val="505050"/>
          <w:sz w:val="22"/>
        </w:rPr>
        <w:t>Stock: Axis Bank Ltd.  |  Exchange: NSE  |  Timeframe: Monthly</w:t>
      </w:r>
    </w:p>
    <w:p/>
    <w:p>
      <w:pPr>
        <w:jc w:val="center"/>
      </w:pPr>
      <w:r>
        <w:drawing>
          <wp:inline xmlns:a="http://schemas.openxmlformats.org/drawingml/2006/main" xmlns:pic="http://schemas.openxmlformats.org/drawingml/2006/picture">
            <wp:extent cx="5669280" cy="2815597"/>
            <wp:docPr id="2" name="Picture 2"/>
            <wp:cNvGraphicFramePr>
              <a:graphicFrameLocks noChangeAspect="1"/>
            </wp:cNvGraphicFramePr>
            <a:graphic>
              <a:graphicData uri="http://schemas.openxmlformats.org/drawingml/2006/picture">
                <pic:pic>
                  <pic:nvPicPr>
                    <pic:cNvPr id="0" name="chart_01_double_top.png"/>
                    <pic:cNvPicPr/>
                  </pic:nvPicPr>
                  <pic:blipFill>
                    <a:blip r:embed="rId10"/>
                    <a:stretch>
                      <a:fillRect/>
                    </a:stretch>
                  </pic:blipFill>
                  <pic:spPr>
                    <a:xfrm>
                      <a:off x="0" y="0"/>
                      <a:ext cx="5669280" cy="2815597"/>
                    </a:xfrm>
                    <a:prstGeom prst="rect"/>
                  </pic:spPr>
                </pic:pic>
              </a:graphicData>
            </a:graphic>
          </wp:inline>
        </w:drawing>
      </w:r>
    </w:p>
    <w:p/>
    <w:p>
      <w:r>
        <w:rPr>
          <w:b/>
          <w:sz w:val="24"/>
        </w:rPr>
        <w:t>Pattern Description:</w:t>
      </w:r>
    </w:p>
    <w:p>
      <w:r>
        <w:rPr>
          <w:sz w:val="22"/>
        </w:rPr>
        <w:t>A bearish reversal pattern formed when price reaches a resistance level twice, creating two peaks at approximately the same level. The pattern is confirmed when price breaks below the neckline (support between the two peaks), signaling a potential downtrend.</w:t>
      </w:r>
    </w:p>
    <w:p>
      <w:r>
        <w:br w:type="page"/>
      </w:r>
    </w:p>
    <w:p>
      <w:pPr>
        <w:pStyle w:val="Heading1"/>
      </w:pPr>
      <w:r>
        <w:rPr>
          <w:color w:val="000000"/>
        </w:rPr>
        <w:t>2.  Double Bottom</w:t>
      </w:r>
    </w:p>
    <w:p>
      <w:pPr>
        <w:jc w:val="left"/>
      </w:pPr>
      <w:r>
        <w:rPr>
          <w:i/>
          <w:color w:val="505050"/>
          <w:sz w:val="22"/>
        </w:rPr>
        <w:t>Stock: SBI Life Insurance Co. Ltd.  |  Exchange: NSE  |  Timeframe: Daily</w:t>
      </w:r>
    </w:p>
    <w:p/>
    <w:p>
      <w:pPr>
        <w:jc w:val="center"/>
      </w:pPr>
      <w:r>
        <w:drawing>
          <wp:inline xmlns:a="http://schemas.openxmlformats.org/drawingml/2006/main" xmlns:pic="http://schemas.openxmlformats.org/drawingml/2006/picture">
            <wp:extent cx="5669280" cy="2815597"/>
            <wp:docPr id="3" name="Picture 3"/>
            <wp:cNvGraphicFramePr>
              <a:graphicFrameLocks noChangeAspect="1"/>
            </wp:cNvGraphicFramePr>
            <a:graphic>
              <a:graphicData uri="http://schemas.openxmlformats.org/drawingml/2006/picture">
                <pic:pic>
                  <pic:nvPicPr>
                    <pic:cNvPr id="0" name="chart_02_double_bottom.png"/>
                    <pic:cNvPicPr/>
                  </pic:nvPicPr>
                  <pic:blipFill>
                    <a:blip r:embed="rId11"/>
                    <a:stretch>
                      <a:fillRect/>
                    </a:stretch>
                  </pic:blipFill>
                  <pic:spPr>
                    <a:xfrm>
                      <a:off x="0" y="0"/>
                      <a:ext cx="5669280" cy="2815597"/>
                    </a:xfrm>
                    <a:prstGeom prst="rect"/>
                  </pic:spPr>
                </pic:pic>
              </a:graphicData>
            </a:graphic>
          </wp:inline>
        </w:drawing>
      </w:r>
    </w:p>
    <w:p/>
    <w:p>
      <w:r>
        <w:rPr>
          <w:b/>
          <w:sz w:val="24"/>
        </w:rPr>
        <w:t>Pattern Description:</w:t>
      </w:r>
    </w:p>
    <w:p>
      <w:r>
        <w:rPr>
          <w:sz w:val="22"/>
        </w:rPr>
        <w:t>A bullish reversal pattern formed when price reaches a support level twice, creating two troughs at approximately the same level. Confirmation occurs when price breaks above the neckline (resistance between the two bottoms), indicating a potential uptrend.</w:t>
      </w:r>
    </w:p>
    <w:p>
      <w:r>
        <w:br w:type="page"/>
      </w:r>
    </w:p>
    <w:p>
      <w:pPr>
        <w:pStyle w:val="Heading1"/>
      </w:pPr>
      <w:r>
        <w:rPr>
          <w:color w:val="000000"/>
        </w:rPr>
        <w:t>3.  Triple Top</w:t>
      </w:r>
    </w:p>
    <w:p>
      <w:pPr>
        <w:jc w:val="left"/>
      </w:pPr>
      <w:r>
        <w:rPr>
          <w:i/>
          <w:color w:val="505050"/>
          <w:sz w:val="22"/>
        </w:rPr>
        <w:t>Stock: Tata Technologies Ltd.  |  Exchange: NSE  |  Timeframe: 1 Hour</w:t>
      </w:r>
    </w:p>
    <w:p/>
    <w:p>
      <w:pPr>
        <w:jc w:val="center"/>
      </w:pPr>
      <w:r>
        <w:drawing>
          <wp:inline xmlns:a="http://schemas.openxmlformats.org/drawingml/2006/main" xmlns:pic="http://schemas.openxmlformats.org/drawingml/2006/picture">
            <wp:extent cx="5669280" cy="2815597"/>
            <wp:docPr id="4" name="Picture 4"/>
            <wp:cNvGraphicFramePr>
              <a:graphicFrameLocks noChangeAspect="1"/>
            </wp:cNvGraphicFramePr>
            <a:graphic>
              <a:graphicData uri="http://schemas.openxmlformats.org/drawingml/2006/picture">
                <pic:pic>
                  <pic:nvPicPr>
                    <pic:cNvPr id="0" name="chart_03_triple_top.png"/>
                    <pic:cNvPicPr/>
                  </pic:nvPicPr>
                  <pic:blipFill>
                    <a:blip r:embed="rId12"/>
                    <a:stretch>
                      <a:fillRect/>
                    </a:stretch>
                  </pic:blipFill>
                  <pic:spPr>
                    <a:xfrm>
                      <a:off x="0" y="0"/>
                      <a:ext cx="5669280" cy="2815597"/>
                    </a:xfrm>
                    <a:prstGeom prst="rect"/>
                  </pic:spPr>
                </pic:pic>
              </a:graphicData>
            </a:graphic>
          </wp:inline>
        </w:drawing>
      </w:r>
    </w:p>
    <w:p/>
    <w:p>
      <w:r>
        <w:rPr>
          <w:b/>
          <w:sz w:val="24"/>
        </w:rPr>
        <w:t>Pattern Description:</w:t>
      </w:r>
    </w:p>
    <w:p>
      <w:r>
        <w:rPr>
          <w:sz w:val="22"/>
        </w:rPr>
        <w:t>A bearish reversal pattern with three peaks at approximately the same resistance level. It signals stronger resistance than a double top and confirms when price breaks below the support level connecting the two reaction lows between the peaks.</w:t>
      </w:r>
    </w:p>
    <w:p>
      <w:r>
        <w:br w:type="page"/>
      </w:r>
    </w:p>
    <w:p>
      <w:pPr>
        <w:pStyle w:val="Heading1"/>
      </w:pPr>
      <w:r>
        <w:rPr>
          <w:color w:val="000000"/>
        </w:rPr>
        <w:t>4.  Triple Bottom</w:t>
      </w:r>
    </w:p>
    <w:p>
      <w:pPr>
        <w:jc w:val="left"/>
      </w:pPr>
      <w:r>
        <w:rPr>
          <w:i/>
          <w:color w:val="505050"/>
          <w:sz w:val="22"/>
        </w:rPr>
        <w:t>Stock: Infosys Ltd.  |  Exchange: NSE  |  Timeframe: Daily</w:t>
      </w:r>
    </w:p>
    <w:p/>
    <w:p>
      <w:pPr>
        <w:jc w:val="center"/>
      </w:pPr>
      <w:r>
        <w:drawing>
          <wp:inline xmlns:a="http://schemas.openxmlformats.org/drawingml/2006/main" xmlns:pic="http://schemas.openxmlformats.org/drawingml/2006/picture">
            <wp:extent cx="5669280" cy="2815597"/>
            <wp:docPr id="5" name="Picture 5"/>
            <wp:cNvGraphicFramePr>
              <a:graphicFrameLocks noChangeAspect="1"/>
            </wp:cNvGraphicFramePr>
            <a:graphic>
              <a:graphicData uri="http://schemas.openxmlformats.org/drawingml/2006/picture">
                <pic:pic>
                  <pic:nvPicPr>
                    <pic:cNvPr id="0" name="chart_04_triple_bottom.png"/>
                    <pic:cNvPicPr/>
                  </pic:nvPicPr>
                  <pic:blipFill>
                    <a:blip r:embed="rId13"/>
                    <a:stretch>
                      <a:fillRect/>
                    </a:stretch>
                  </pic:blipFill>
                  <pic:spPr>
                    <a:xfrm>
                      <a:off x="0" y="0"/>
                      <a:ext cx="5669280" cy="2815597"/>
                    </a:xfrm>
                    <a:prstGeom prst="rect"/>
                  </pic:spPr>
                </pic:pic>
              </a:graphicData>
            </a:graphic>
          </wp:inline>
        </w:drawing>
      </w:r>
    </w:p>
    <w:p/>
    <w:p>
      <w:r>
        <w:rPr>
          <w:b/>
          <w:sz w:val="24"/>
        </w:rPr>
        <w:t>Pattern Description:</w:t>
      </w:r>
    </w:p>
    <w:p>
      <w:r>
        <w:rPr>
          <w:sz w:val="22"/>
        </w:rPr>
        <w:t>A bullish reversal pattern with three troughs at approximately the same support level. It indicates strong support and confirms when price breaks above the resistance level connecting the two reaction highs between the bottoms.</w:t>
      </w:r>
    </w:p>
    <w:p>
      <w:r>
        <w:br w:type="page"/>
      </w:r>
    </w:p>
    <w:p>
      <w:pPr>
        <w:pStyle w:val="Heading1"/>
      </w:pPr>
      <w:r>
        <w:rPr>
          <w:color w:val="000000"/>
        </w:rPr>
        <w:t>5.  Rectangle (Box)</w:t>
      </w:r>
    </w:p>
    <w:p>
      <w:pPr>
        <w:jc w:val="left"/>
      </w:pPr>
      <w:r>
        <w:rPr>
          <w:i/>
          <w:color w:val="505050"/>
          <w:sz w:val="22"/>
        </w:rPr>
        <w:t>Stock: Genus Power Infra Ltd.  |  Exchange: NSE  |  Timeframe: Daily</w:t>
      </w:r>
    </w:p>
    <w:p/>
    <w:p>
      <w:pPr>
        <w:jc w:val="center"/>
      </w:pPr>
      <w:r>
        <w:drawing>
          <wp:inline xmlns:a="http://schemas.openxmlformats.org/drawingml/2006/main" xmlns:pic="http://schemas.openxmlformats.org/drawingml/2006/picture">
            <wp:extent cx="5669280" cy="2815597"/>
            <wp:docPr id="6" name="Picture 6"/>
            <wp:cNvGraphicFramePr>
              <a:graphicFrameLocks noChangeAspect="1"/>
            </wp:cNvGraphicFramePr>
            <a:graphic>
              <a:graphicData uri="http://schemas.openxmlformats.org/drawingml/2006/picture">
                <pic:pic>
                  <pic:nvPicPr>
                    <pic:cNvPr id="0" name="chart_05_rectangle_box.png"/>
                    <pic:cNvPicPr/>
                  </pic:nvPicPr>
                  <pic:blipFill>
                    <a:blip r:embed="rId14"/>
                    <a:stretch>
                      <a:fillRect/>
                    </a:stretch>
                  </pic:blipFill>
                  <pic:spPr>
                    <a:xfrm>
                      <a:off x="0" y="0"/>
                      <a:ext cx="5669280" cy="2815597"/>
                    </a:xfrm>
                    <a:prstGeom prst="rect"/>
                  </pic:spPr>
                </pic:pic>
              </a:graphicData>
            </a:graphic>
          </wp:inline>
        </w:drawing>
      </w:r>
    </w:p>
    <w:p/>
    <w:p>
      <w:r>
        <w:rPr>
          <w:b/>
          <w:sz w:val="24"/>
        </w:rPr>
        <w:t>Pattern Description:</w:t>
      </w:r>
    </w:p>
    <w:p>
      <w:r>
        <w:rPr>
          <w:sz w:val="22"/>
        </w:rPr>
        <w:t>A continuation pattern where price oscillates between well-defined horizontal support and resistance levels. The breakout direction (above resistance or below support) determines the next trend direction. Volume typically decreases during the formation.</w:t>
      </w:r>
    </w:p>
    <w:p>
      <w:r>
        <w:br w:type="page"/>
      </w:r>
    </w:p>
    <w:p>
      <w:pPr>
        <w:pStyle w:val="Heading1"/>
      </w:pPr>
      <w:r>
        <w:rPr>
          <w:color w:val="000000"/>
        </w:rPr>
        <w:t>6.  Descending Triangle</w:t>
      </w:r>
    </w:p>
    <w:p>
      <w:pPr>
        <w:jc w:val="left"/>
      </w:pPr>
      <w:r>
        <w:rPr>
          <w:i/>
          <w:color w:val="505050"/>
          <w:sz w:val="22"/>
        </w:rPr>
        <w:t>Stock: Bharti Airtel Ltd.  |  Exchange: NSE  |  Timeframe: 2 Hour</w:t>
      </w:r>
    </w:p>
    <w:p/>
    <w:p>
      <w:pPr>
        <w:jc w:val="center"/>
      </w:pPr>
      <w:r>
        <w:drawing>
          <wp:inline xmlns:a="http://schemas.openxmlformats.org/drawingml/2006/main" xmlns:pic="http://schemas.openxmlformats.org/drawingml/2006/picture">
            <wp:extent cx="5669280" cy="2815597"/>
            <wp:docPr id="7" name="Picture 7"/>
            <wp:cNvGraphicFramePr>
              <a:graphicFrameLocks noChangeAspect="1"/>
            </wp:cNvGraphicFramePr>
            <a:graphic>
              <a:graphicData uri="http://schemas.openxmlformats.org/drawingml/2006/picture">
                <pic:pic>
                  <pic:nvPicPr>
                    <pic:cNvPr id="0" name="chart_06_descending_triangle.png"/>
                    <pic:cNvPicPr/>
                  </pic:nvPicPr>
                  <pic:blipFill>
                    <a:blip r:embed="rId15"/>
                    <a:stretch>
                      <a:fillRect/>
                    </a:stretch>
                  </pic:blipFill>
                  <pic:spPr>
                    <a:xfrm>
                      <a:off x="0" y="0"/>
                      <a:ext cx="5669280" cy="2815597"/>
                    </a:xfrm>
                    <a:prstGeom prst="rect"/>
                  </pic:spPr>
                </pic:pic>
              </a:graphicData>
            </a:graphic>
          </wp:inline>
        </w:drawing>
      </w:r>
    </w:p>
    <w:p/>
    <w:p>
      <w:r>
        <w:rPr>
          <w:b/>
          <w:sz w:val="24"/>
        </w:rPr>
        <w:t>Pattern Description:</w:t>
      </w:r>
    </w:p>
    <w:p>
      <w:r>
        <w:rPr>
          <w:sz w:val="22"/>
        </w:rPr>
        <w:t>A bearish continuation pattern characterized by a flat horizontal support line and a descending trendline connecting lower highs. The converging trendlines create a triangle that typically breaks downward, though upside breakouts can occur.</w:t>
      </w:r>
    </w:p>
    <w:p>
      <w:r>
        <w:br w:type="page"/>
      </w:r>
    </w:p>
    <w:p>
      <w:pPr>
        <w:pStyle w:val="Heading1"/>
      </w:pPr>
      <w:r>
        <w:rPr>
          <w:color w:val="000000"/>
        </w:rPr>
        <w:t>7.  Ascending Triangle</w:t>
      </w:r>
    </w:p>
    <w:p>
      <w:pPr>
        <w:jc w:val="left"/>
      </w:pPr>
      <w:r>
        <w:rPr>
          <w:i/>
          <w:color w:val="505050"/>
          <w:sz w:val="22"/>
        </w:rPr>
        <w:t>Stock: Bharat Petroleum Corp. Ltd.  |  Exchange: NSE  |  Timeframe: Daily</w:t>
      </w:r>
    </w:p>
    <w:p/>
    <w:p>
      <w:pPr>
        <w:jc w:val="center"/>
      </w:pPr>
      <w:r>
        <w:drawing>
          <wp:inline xmlns:a="http://schemas.openxmlformats.org/drawingml/2006/main" xmlns:pic="http://schemas.openxmlformats.org/drawingml/2006/picture">
            <wp:extent cx="5669280" cy="2815597"/>
            <wp:docPr id="8" name="Picture 8"/>
            <wp:cNvGraphicFramePr>
              <a:graphicFrameLocks noChangeAspect="1"/>
            </wp:cNvGraphicFramePr>
            <a:graphic>
              <a:graphicData uri="http://schemas.openxmlformats.org/drawingml/2006/picture">
                <pic:pic>
                  <pic:nvPicPr>
                    <pic:cNvPr id="0" name="chart_07_ascending_triangle.png"/>
                    <pic:cNvPicPr/>
                  </pic:nvPicPr>
                  <pic:blipFill>
                    <a:blip r:embed="rId16"/>
                    <a:stretch>
                      <a:fillRect/>
                    </a:stretch>
                  </pic:blipFill>
                  <pic:spPr>
                    <a:xfrm>
                      <a:off x="0" y="0"/>
                      <a:ext cx="5669280" cy="2815597"/>
                    </a:xfrm>
                    <a:prstGeom prst="rect"/>
                  </pic:spPr>
                </pic:pic>
              </a:graphicData>
            </a:graphic>
          </wp:inline>
        </w:drawing>
      </w:r>
    </w:p>
    <w:p/>
    <w:p>
      <w:r>
        <w:rPr>
          <w:b/>
          <w:sz w:val="24"/>
        </w:rPr>
        <w:t>Pattern Description:</w:t>
      </w:r>
    </w:p>
    <w:p>
      <w:r>
        <w:rPr>
          <w:sz w:val="22"/>
        </w:rPr>
        <w:t>A bullish continuation pattern with a flat horizontal resistance line and an ascending trendline connecting higher lows. The converging lines indicate increasing buying pressure, and the pattern typically breaks upward through the resistance level.</w:t>
      </w:r>
    </w:p>
    <w:p>
      <w:r>
        <w:br w:type="page"/>
      </w:r>
    </w:p>
    <w:p>
      <w:pPr>
        <w:pStyle w:val="Heading1"/>
      </w:pPr>
      <w:r>
        <w:rPr>
          <w:color w:val="000000"/>
        </w:rPr>
        <w:t>8.  Symmetrical Triangle</w:t>
      </w:r>
    </w:p>
    <w:p>
      <w:pPr>
        <w:jc w:val="left"/>
      </w:pPr>
      <w:r>
        <w:rPr>
          <w:i/>
          <w:color w:val="505050"/>
          <w:sz w:val="22"/>
        </w:rPr>
        <w:t>Stock: Maruti Suzuki India Ltd.  |  Exchange: NSE  |  Timeframe: Daily</w:t>
      </w:r>
    </w:p>
    <w:p/>
    <w:p>
      <w:pPr>
        <w:jc w:val="center"/>
      </w:pPr>
      <w:r>
        <w:drawing>
          <wp:inline xmlns:a="http://schemas.openxmlformats.org/drawingml/2006/main" xmlns:pic="http://schemas.openxmlformats.org/drawingml/2006/picture">
            <wp:extent cx="5669280" cy="2815597"/>
            <wp:docPr id="9" name="Picture 9"/>
            <wp:cNvGraphicFramePr>
              <a:graphicFrameLocks noChangeAspect="1"/>
            </wp:cNvGraphicFramePr>
            <a:graphic>
              <a:graphicData uri="http://schemas.openxmlformats.org/drawingml/2006/picture">
                <pic:pic>
                  <pic:nvPicPr>
                    <pic:cNvPr id="0" name="chart_08_symmetrical_triangle.png"/>
                    <pic:cNvPicPr/>
                  </pic:nvPicPr>
                  <pic:blipFill>
                    <a:blip r:embed="rId17"/>
                    <a:stretch>
                      <a:fillRect/>
                    </a:stretch>
                  </pic:blipFill>
                  <pic:spPr>
                    <a:xfrm>
                      <a:off x="0" y="0"/>
                      <a:ext cx="5669280" cy="2815597"/>
                    </a:xfrm>
                    <a:prstGeom prst="rect"/>
                  </pic:spPr>
                </pic:pic>
              </a:graphicData>
            </a:graphic>
          </wp:inline>
        </w:drawing>
      </w:r>
    </w:p>
    <w:p/>
    <w:p>
      <w:r>
        <w:rPr>
          <w:b/>
          <w:sz w:val="24"/>
        </w:rPr>
        <w:t>Pattern Description:</w:t>
      </w:r>
    </w:p>
    <w:p>
      <w:r>
        <w:rPr>
          <w:sz w:val="22"/>
        </w:rPr>
        <w:t>A neutral continuation pattern formed by converging trendlines — a descending upper line and an ascending lower line. The breakout can occur in either direction, with the breakout direction typically following the prior trend. Volume decreases as the pattern narrows toward the apex.</w:t>
      </w:r>
    </w:p>
    <w:p>
      <w:r>
        <w:br w:type="page"/>
      </w:r>
    </w:p>
    <w:p>
      <w:pPr>
        <w:pStyle w:val="Heading1"/>
      </w:pPr>
      <w:r>
        <w:rPr>
          <w:color w:val="000000"/>
        </w:rPr>
        <w:t>9.  Diamond Top</w:t>
      </w:r>
    </w:p>
    <w:p>
      <w:pPr>
        <w:jc w:val="left"/>
      </w:pPr>
      <w:r>
        <w:rPr>
          <w:i/>
          <w:color w:val="505050"/>
          <w:sz w:val="22"/>
        </w:rPr>
        <w:t>Stock: Coforge Ltd.  |  Exchange: NSE  |  Timeframe: Daily</w:t>
      </w:r>
    </w:p>
    <w:p/>
    <w:p>
      <w:pPr>
        <w:jc w:val="center"/>
      </w:pPr>
      <w:r>
        <w:drawing>
          <wp:inline xmlns:a="http://schemas.openxmlformats.org/drawingml/2006/main" xmlns:pic="http://schemas.openxmlformats.org/drawingml/2006/picture">
            <wp:extent cx="5669280" cy="2815597"/>
            <wp:docPr id="10" name="Picture 10"/>
            <wp:cNvGraphicFramePr>
              <a:graphicFrameLocks noChangeAspect="1"/>
            </wp:cNvGraphicFramePr>
            <a:graphic>
              <a:graphicData uri="http://schemas.openxmlformats.org/drawingml/2006/picture">
                <pic:pic>
                  <pic:nvPicPr>
                    <pic:cNvPr id="0" name="chart_09_diamond_top.png"/>
                    <pic:cNvPicPr/>
                  </pic:nvPicPr>
                  <pic:blipFill>
                    <a:blip r:embed="rId18"/>
                    <a:stretch>
                      <a:fillRect/>
                    </a:stretch>
                  </pic:blipFill>
                  <pic:spPr>
                    <a:xfrm>
                      <a:off x="0" y="0"/>
                      <a:ext cx="5669280" cy="2815597"/>
                    </a:xfrm>
                    <a:prstGeom prst="rect"/>
                  </pic:spPr>
                </pic:pic>
              </a:graphicData>
            </a:graphic>
          </wp:inline>
        </w:drawing>
      </w:r>
    </w:p>
    <w:p/>
    <w:p>
      <w:r>
        <w:rPr>
          <w:b/>
          <w:sz w:val="24"/>
        </w:rPr>
        <w:t>Pattern Description:</w:t>
      </w:r>
    </w:p>
    <w:p>
      <w:r>
        <w:rPr>
          <w:sz w:val="22"/>
        </w:rPr>
        <w:t>A rare bearish reversal pattern combining a broadening formation (expanding volatility) followed by a symmetrical triangle (contracting volatility), creating a diamond shape. It typically forms at market tops and signals a significant trend reversal when price breaks below the lower right trendline.</w:t>
      </w:r>
    </w:p>
    <w:p>
      <w:r>
        <w:br w:type="page"/>
      </w:r>
    </w:p>
    <w:p>
      <w:pPr>
        <w:pStyle w:val="Heading1"/>
      </w:pPr>
      <w:r>
        <w:rPr>
          <w:color w:val="000000"/>
        </w:rPr>
        <w:t>10.  Wedge</w:t>
      </w:r>
    </w:p>
    <w:p>
      <w:pPr>
        <w:jc w:val="left"/>
      </w:pPr>
      <w:r>
        <w:rPr>
          <w:i/>
          <w:color w:val="505050"/>
          <w:sz w:val="22"/>
        </w:rPr>
        <w:t>Stock: Tata Motors Ltd.  |  Exchange: NSE  |  Timeframe: 4 Hour</w:t>
      </w:r>
    </w:p>
    <w:p/>
    <w:p>
      <w:pPr>
        <w:jc w:val="center"/>
      </w:pPr>
      <w:r>
        <w:drawing>
          <wp:inline xmlns:a="http://schemas.openxmlformats.org/drawingml/2006/main" xmlns:pic="http://schemas.openxmlformats.org/drawingml/2006/picture">
            <wp:extent cx="5669280" cy="2815597"/>
            <wp:docPr id="11" name="Picture 11"/>
            <wp:cNvGraphicFramePr>
              <a:graphicFrameLocks noChangeAspect="1"/>
            </wp:cNvGraphicFramePr>
            <a:graphic>
              <a:graphicData uri="http://schemas.openxmlformats.org/drawingml/2006/picture">
                <pic:pic>
                  <pic:nvPicPr>
                    <pic:cNvPr id="0" name="chart_10_wedge.png"/>
                    <pic:cNvPicPr/>
                  </pic:nvPicPr>
                  <pic:blipFill>
                    <a:blip r:embed="rId19"/>
                    <a:stretch>
                      <a:fillRect/>
                    </a:stretch>
                  </pic:blipFill>
                  <pic:spPr>
                    <a:xfrm>
                      <a:off x="0" y="0"/>
                      <a:ext cx="5669280" cy="2815597"/>
                    </a:xfrm>
                    <a:prstGeom prst="rect"/>
                  </pic:spPr>
                </pic:pic>
              </a:graphicData>
            </a:graphic>
          </wp:inline>
        </w:drawing>
      </w:r>
    </w:p>
    <w:p/>
    <w:p>
      <w:r>
        <w:rPr>
          <w:b/>
          <w:sz w:val="24"/>
        </w:rPr>
        <w:t>Pattern Description:</w:t>
      </w:r>
    </w:p>
    <w:p>
      <w:r>
        <w:rPr>
          <w:sz w:val="22"/>
        </w:rPr>
        <w:t>A pattern formed by two converging trendlines that slant in the same direction. A rising wedge (both lines slope up) is bearish, while a falling wedge (both lines slope down) is bullish. The pattern indicates diminishing momentum before a reversal.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