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Skrining Preeklampsia pada usia kehamilan &lt; 20</w:t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40"/>
        <w:gridCol w:w="2202"/>
        <w:gridCol w:w="2118"/>
      </w:tblGrid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Kriteria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Sedang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>Risiko Tinggi</w:t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Anamnesis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kehamilan oleh pasangan baru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dengan teknologi reproduksi berbantu:</w:t>
            </w:r>
          </w:p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bayi tabung, obat induksi ovulasi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 w:before="40" w:after="0"/>
              <w:ind w:left="100" w:hanging="0"/>
              <w:rPr>
                <w:rFonts w:ascii="Trebuchet MS" w:hAnsi="Trebuchet MS" w:eastAsia="Trebuchet MS" w:cs="Trebuchet MS"/>
                <w:color w:val="231F20"/>
                <w:sz w:val="18"/>
                <w:szCs w:val="18"/>
              </w:rPr>
            </w:pPr>
            <w:r>
              <w:rPr>
                <w:rFonts w:eastAsia="Arial Unicode MS" w:cs="Arial Unicode MS" w:ascii="Arial Unicode MS" w:hAnsi="Arial Unicode MS"/>
                <w:color w:val="231F20"/>
                <w:sz w:val="18"/>
                <w:szCs w:val="18"/>
              </w:rPr>
              <w:t>Umur ≥ 35 tahun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Nulipara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yang jarak kehamilan sebelumnya &gt; 10 tahun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Riwayat preeklampsia pada ibu atau saudara perempuan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Obesitas sebelum hamil (IMT &gt; 30 kg/m2)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Multipara dengan riwayat preeklampsia sebelumnya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Kehamilan multiple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Diabetes dalam kehamilan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Hipertensi kronik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ginjal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Penyakit autoimun, SLE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Anti phospholipid syndrome*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Pemeriksaan Fisik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1D3D4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Mean Arterial Presure &gt; 90 mmHg **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/>
        <w:tc>
          <w:tcPr>
            <w:tcW w:w="5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Proteinuria (urin celup &gt; +1 pada 2 kali pemeriksaan</w:t>
            </w:r>
          </w:p>
          <w:p>
            <w:pPr>
              <w:pStyle w:val="LOnormal"/>
              <w:widowControl w:val="false"/>
              <w:spacing w:lineRule="auto" w:line="264" w:before="20" w:after="0"/>
              <w:ind w:left="100" w:hanging="0"/>
              <w:rPr>
                <w:color w:val="231F20"/>
                <w:sz w:val="18"/>
                <w:szCs w:val="18"/>
              </w:rPr>
            </w:pPr>
            <w:r>
              <w:rPr>
                <w:color w:val="231F20"/>
                <w:sz w:val="18"/>
                <w:szCs w:val="18"/>
              </w:rPr>
              <w:t>berjarak 6 jam atau segera kuantitatif 300 mg/24 jam)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00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b/>
                <w:b/>
                <w:sz w:val="26"/>
                <w:szCs w:val="26"/>
              </w:rPr>
            </w:pPr>
            <w:r>
              <w:rPr>
                <w:rFonts w:eastAsia="Lucida Sans" w:cs="Lucida Sans" w:ascii="Lucida Sans" w:hAnsi="Lucida Sans"/>
                <w:b/>
                <w:sz w:val="26"/>
                <w:szCs w:val="26"/>
              </w:rPr>
            </w:r>
          </w:p>
        </w:tc>
      </w:tr>
      <w:tr>
        <w:trPr>
          <w:trHeight w:val="2295" w:hRule="atLeast"/>
        </w:trPr>
        <w:tc>
          <w:tcPr>
            <w:tcW w:w="9360" w:type="dxa"/>
            <w:gridSpan w:val="3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Keterangan Sistem Skoring:</w:t>
            </w:r>
          </w:p>
          <w:p>
            <w:pPr>
              <w:pStyle w:val="LOnormal"/>
              <w:widowControl w:val="false"/>
              <w:spacing w:lineRule="auto" w:line="300" w:before="20" w:after="0"/>
              <w:ind w:left="80" w:hanging="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Ibu hamil dilakukan rujukan bila ditemukan sedikitnya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="2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2 Resiko sedang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color w:val="231F20"/>
                <w:sz w:val="18"/>
                <w:szCs w:val="18"/>
              </w:rPr>
              <w:t>1 Risiko tinggi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Autospacing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Manifestasi klinis APS antara lain : keguguran berulang, IUFD, Kelahiran premature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300" w:beforeAutospacing="0" w:before="0" w:after="0"/>
              <w:ind w:left="720" w:hanging="360"/>
              <w:rPr>
                <w:rFonts w:ascii="Lucida Sans" w:hAnsi="Lucida Sans" w:eastAsia="Lucida Sans" w:cs="Lucida Sans"/>
                <w:i/>
                <w:i/>
                <w:color w:val="231F20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i/>
                <w:color w:val="231F20"/>
                <w:sz w:val="18"/>
                <w:szCs w:val="18"/>
              </w:rPr>
              <w:t>MAP dihitung setiap kali kunjungan ANC</w:t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Centang pilihan yang sesuai</w:t>
      </w:r>
    </w:p>
    <w:p>
      <w:pPr>
        <w:pStyle w:val="LOnormal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Kesimpulan </w:t>
        <w:tab/>
        <w:t xml:space="preserve">: </w:t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Bilamana ibu beresiko preeklamsi maka pemeriksaan kehamilan, persalinan dan pemeriksaan nifas dilakukan di Rumah Sakit</w:t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  <w:t>Lakukan rujukan pada ibu hamil dengan kondisi yang disebutkan di atas (tidak perlu menunggu inpartu)</w:t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tbl>
      <w:tblPr>
        <w:tblStyle w:val="Table2"/>
        <w:tblpPr w:vertAnchor="margin" w:horzAnchor="margin" w:bottomFromText="180" w:leftFromText="180" w:rightFromText="180" w:topFromText="180" w:tblpX="6555" w:tblpY="15525"/>
        <w:tblW w:w="267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670"/>
      </w:tblGrid>
      <w:tr>
        <w:trPr>
          <w:trHeight w:val="4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>Dokter Pemeriksa,</w:t>
            </w:r>
          </w:p>
        </w:tc>
      </w:tr>
      <w:tr>
        <w:trPr>
          <w:trHeight w:val="960" w:hRule="atLeast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( </w:t>
            </w:r>
            <w:r>
              <w:rPr>
                <w:rFonts w:eastAsia="Lucida Sans" w:cs="Lucida Sans" w:ascii="Lucida Sans" w:hAnsi="Lucida Sans"/>
                <w:b/>
                <w:bCs/>
                <w:sz w:val="20"/>
                <w:szCs w:val="20"/>
              </w:rPr>
              <w:t>{nama_dokter}</w:t>
            </w: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  <w:r>
              <w:rPr>
                <w:rFonts w:eastAsia="Lucida Sans" w:cs="Lucida Sans" w:ascii="Lucida Sans" w:hAnsi="Lucida Sans"/>
                <w:i w:val="false"/>
                <w:iCs w:val="fals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i/>
                <w:i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i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LOnormal"/>
        <w:rPr>
          <w:rFonts w:ascii="Lucida Sans" w:hAnsi="Lucida Sans" w:eastAsia="Lucida Sans" w:cs="Lucida Sans"/>
          <w:i/>
          <w:i/>
          <w:sz w:val="20"/>
          <w:szCs w:val="20"/>
        </w:rPr>
      </w:pPr>
      <w:r>
        <w:rPr>
          <w:rFonts w:eastAsia="Lucida Sans" w:cs="Lucida Sans" w:ascii="Lucida Sans" w:hAnsi="Lucida Sans"/>
          <w:i/>
          <w:sz w:val="20"/>
          <w:szCs w:val="20"/>
        </w:rPr>
      </w:r>
    </w:p>
    <w:p>
      <w:pPr>
        <w:pStyle w:val="LOnormal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181</Words>
  <Characters>1090</Characters>
  <CharactersWithSpaces>1233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2024-10-06T00:02:24Z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