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Skrining Preeklampsia pada usia kehamilan &lt; 20</w:t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40"/>
        <w:gridCol w:w="2204"/>
        <w:gridCol w:w="2116"/>
      </w:tblGrid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Kriteria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Risiko Sedang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Risiko Tinggi</w:t>
            </w:r>
          </w:p>
        </w:tc>
      </w:tr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Anamnesis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dengan kehamilan oleh pasangan baru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Kehamilan dengan teknologi reproduksi berbantu:</w:t>
            </w:r>
          </w:p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bayi tabung, obat induksi ovulasi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40" w:before="40" w:after="0"/>
              <w:ind w:left="100" w:hanging="0"/>
              <w:rPr>
                <w:rFonts w:ascii="Trebuchet MS" w:hAnsi="Trebuchet MS" w:eastAsia="Trebuchet MS" w:cs="Trebuchet MS"/>
                <w:color w:val="231F20"/>
                <w:sz w:val="18"/>
                <w:szCs w:val="18"/>
              </w:rPr>
            </w:pPr>
            <w:r>
              <w:rPr>
                <w:rFonts w:eastAsia="Arial Unicode MS" w:cs="Arial Unicode MS" w:ascii="Arial Unicode MS" w:hAnsi="Arial Unicode MS"/>
                <w:color w:val="231F20"/>
                <w:sz w:val="18"/>
                <w:szCs w:val="18"/>
              </w:rPr>
              <w:t>Umur ≥ 35 tahun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Nulipara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yang jarak kehamilan sebelumnya &gt; 10 tahun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Riwayat preeklampsia pada ibu atau saudara perempuan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Obesitas sebelum hamil (IMT &gt; 30 kg/m2)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dengan riwayat preeklampsia sebelumnya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Kehamilan multiple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Diabetes dalam kehamilan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Hipertensi kronik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Penyakit ginjal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Penyakit autoimun, SLE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Anti phospholipid syndrome*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Pemeriksaan Fisik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Mean Arterial Presure &gt; 90 mmHg **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Proteinuria (urin celup &gt; +1 pada 2 kali pemeriksaan</w:t>
            </w:r>
          </w:p>
          <w:p>
            <w:pPr>
              <w:pStyle w:val="Normal1"/>
              <w:widowControl w:val="false"/>
              <w:spacing w:lineRule="auto" w:line="266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berjarak 6 jam atau segera kuantitatif 300 mg/24 jam)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>
          <w:trHeight w:val="2295" w:hRule="atLeast"/>
        </w:trPr>
        <w:tc>
          <w:tcPr>
            <w:tcW w:w="9360" w:type="dxa"/>
            <w:gridSpan w:val="3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pacing w:lineRule="auto" w:line="300" w:before="20" w:after="0"/>
              <w:ind w:left="80" w:hanging="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Keterangan Sistem Skoring:</w:t>
            </w:r>
          </w:p>
          <w:p>
            <w:pPr>
              <w:pStyle w:val="Normal1"/>
              <w:widowControl w:val="false"/>
              <w:spacing w:lineRule="auto" w:line="300" w:before="20" w:after="0"/>
              <w:ind w:left="80" w:hanging="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Ibu hamil dilakukan rujukan bila ditemukan sedikitnya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300" w:before="20" w:afterAutospacing="0" w:after="0"/>
              <w:ind w:left="720" w:hanging="36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2 Resiko sedang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300" w:beforeAutospacing="0" w:before="0" w:afterAutospacing="0" w:after="0"/>
              <w:ind w:left="720" w:hanging="36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1 Risiko tinggi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300" w:beforeAutospacing="0" w:before="0" w:afterAutospacing="0" w:after="0"/>
              <w:ind w:left="720" w:hanging="360"/>
              <w:rPr>
                <w:rFonts w:ascii="Lucida Sans" w:hAnsi="Lucida Sans" w:eastAsia="Lucida Sans" w:cs="Lucida Sans"/>
                <w:i/>
                <w:i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i/>
                <w:color w:val="231F20"/>
                <w:sz w:val="18"/>
                <w:szCs w:val="18"/>
              </w:rPr>
              <w:t>Manifestasi klinis APS antara lain : keguguran berulang, IUFD, Kelahiran premature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300" w:beforeAutospacing="0" w:before="0" w:after="0"/>
              <w:ind w:left="720" w:hanging="360"/>
              <w:rPr>
                <w:rFonts w:ascii="Lucida Sans" w:hAnsi="Lucida Sans" w:eastAsia="Lucida Sans" w:cs="Lucida Sans"/>
                <w:i/>
                <w:i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i/>
                <w:color w:val="231F20"/>
                <w:sz w:val="18"/>
                <w:szCs w:val="18"/>
              </w:rPr>
              <w:t>MAP dihitung setiap kali kunjungan ANC</w:t>
            </w:r>
          </w:p>
        </w:tc>
      </w:tr>
    </w:tbl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Normal1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Centang pilihan yang sesuai</w:t>
      </w:r>
    </w:p>
    <w:p>
      <w:pPr>
        <w:pStyle w:val="Normal1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Kesimpulan </w:t>
        <w:tab/>
        <w:t xml:space="preserve">: </w:t>
      </w:r>
    </w:p>
    <w:p>
      <w:pPr>
        <w:pStyle w:val="Normal1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Bilamana ibu beresiko preeklamsi maka pemeriksaan kehamilan, persalinan dan pemeriksaan nifas dilakukan di Rumah Sakit</w:t>
      </w:r>
    </w:p>
    <w:p>
      <w:pPr>
        <w:pStyle w:val="Normal1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Lakukan rujukan pada ibu hamil dengan kondisi yang disebutkan di atas (tidak perlu menunggu inpartu)</w:t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Normal1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tbl>
      <w:tblPr>
        <w:tblStyle w:val="Table2"/>
        <w:tblpPr w:vertAnchor="margin" w:horzAnchor="margin" w:bottomFromText="180" w:leftFromText="180" w:rightFromText="180" w:topFromText="180" w:tblpX="6555" w:tblpY="15525"/>
        <w:tblW w:w="267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670"/>
      </w:tblGrid>
      <w:tr>
        <w:trPr>
          <w:trHeight w:val="460" w:hRule="atLeast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Dokter Pemeriksa,</w:t>
            </w:r>
          </w:p>
        </w:tc>
      </w:tr>
      <w:tr>
        <w:trPr>
          <w:trHeight w:val="960" w:hRule="atLeast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i/>
                <w:i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( nama_dokter </w:t>
            </w:r>
            <w:r>
              <w:rPr>
                <w:rFonts w:eastAsia="Lucida Sans" w:cs="Lucida Sans" w:ascii="Lucida Sans" w:hAnsi="Lucida Sans"/>
                <w:i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i/>
                <w:i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i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p>
      <w:pPr>
        <w:pStyle w:val="Normal1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181</Words>
  <Characters>1088</Characters>
  <CharactersWithSpaces>1231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2024-09-30T18:13:32Z</dcterms:modified>
  <cp:revision>1</cp:revision>
  <dc:subject/>
  <dc:title/>
</cp:coreProperties>
</file>