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NIPT检测时点与BMI分组优化</w:t>
        <w:br/>
        <w:t>——C题问题1—3精简统合报告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22"/>
        </w:rPr>
        <w:t>建模草稿 / 内部验证版本 v1（不替代临床诊断）</w:t>
      </w:r>
    </w:p>
    <w:p>
      <w:r>
        <w:br/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表1 问题1—3最终回答与证据边界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170"/>
        <w:gridCol w:w="4680"/>
        <w:gridCol w:w="3510"/>
      </w:tblGrid>
      <w:tr>
        <w:trPr>
          <w:tblHeader w:val="true"/>
        </w:trPr>
        <w:tc>
          <w:tcPr>
            <w:tcW w:type="dxa" w:w="1170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8"/>
              </w:rPr>
              <w:t>问题</w:t>
            </w:r>
          </w:p>
        </w:tc>
        <w:tc>
          <w:tcPr>
            <w:tcW w:type="dxa" w:w="4680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8"/>
              </w:rPr>
              <w:t>最终回答</w:t>
            </w:r>
          </w:p>
        </w:tc>
        <w:tc>
          <w:tcPr>
            <w:tcW w:type="dxa" w:w="3510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8"/>
              </w:rPr>
              <w:t>证据边界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问题1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孕周与Y浓度正相关，BMI与其负相关；交互不显著</w:t>
            </w:r>
          </w:p>
        </w:tc>
        <w:tc>
          <w:tcPr>
            <w:tcW w:type="dxa" w:w="351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纵向关联，不作因果解释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问题2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BMI&lt;34.357：18周；BMI≥34.357：22周</w:t>
            </w:r>
          </w:p>
        </w:tc>
        <w:tc>
          <w:tcPr>
            <w:tcW w:type="dxa" w:w="351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题面三级风险下的内部主推荐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问题3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简化为BMI&lt;35：18周；BMI≥35：22周</w:t>
            </w:r>
          </w:p>
        </w:tc>
        <w:tc>
          <w:tcPr>
            <w:tcW w:type="dxa" w:w="351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8"/>
              </w:rPr>
              <w:t>开发后固定政策的内部稳定性建议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由表1先给出三问的最终回答；后文分别给出模型、验证与限制。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说明：本文件统合问题1—3的最终可用证据，旧搜索树、局部贪心和多组探索仅在方法演进中简述。所有达标概率均指Y染色体浓度达到题面4%阈值的概率，不是胎儿染色体异常诊断准确率。</w:t>
      </w:r>
    </w:p>
    <w:p>
      <w:r>
        <w:br w:type="page"/>
      </w:r>
    </w:p>
    <w:p>
      <w:pPr>
        <w:pStyle w:val="Heading1"/>
        <w:keepNext/>
      </w:pPr>
      <w:r>
        <w:t>摘 要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针对267名男胎孕妇的1082条重复检测记录，本文先以随机截距线性混合模型分析Y染色体浓度与检测孕周、BMI的条件关联，再把首次达到4%的孕周构造成患者级删失结局，采用区间删失XGBoost-AFT生成孕周达标概率，并在连续BMI候选空间内优化分组和推荐时点。问题1显示孕周线性项和二次项为正、BMI项为负，孕周×BMI交互不显著。问题2在题面三级风险口径下推荐以BMI 34.357分组并分别于18周、22周检测；16/18仅作为中期内部等待损失连续增加时的敏感性方案。问题3显示多因素相对仅BMI模型的增量很小；无外层选参的嵌套审计为均值安全4/4折、四分位审计层LCB安全3/4折。综合可解释性后给出整数切点35与18/22周的开发后固定政策，其稳定性证据来自内部回放和Bootstrap，并非完全独立的无偏测试。</w:t>
      </w:r>
    </w:p>
    <w:p>
      <w:r>
        <w:rPr>
          <w:rFonts w:ascii="Times New Roman" w:hAnsi="Times New Roman" w:eastAsia="宋体"/>
          <w:b/>
          <w:color w:val="202124"/>
          <w:sz w:val="21"/>
        </w:rPr>
        <w:t>关键词：</w:t>
      </w:r>
      <w:r>
        <w:rPr>
          <w:rFonts w:ascii="Times New Roman" w:hAnsi="Times New Roman" w:eastAsia="宋体"/>
          <w:b w:val="0"/>
          <w:color w:val="202124"/>
          <w:sz w:val="21"/>
        </w:rPr>
        <w:t>NIPT；胎儿浓度；线性混合模型；区间删失；AFT；Optimal Binning；嵌套交叉验证</w:t>
      </w:r>
    </w:p>
    <w:p>
      <w:pPr>
        <w:pStyle w:val="Heading1"/>
        <w:keepNext/>
      </w:pPr>
      <w:r>
        <w:t>1 问题重述与数据层级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题目要求依次回答Y浓度与孕周、BMI等因素的关系，按BMI分组给出最佳NIPT时点，并在综合多因素和检测误差后修订分组。已有研究指出胎儿游离DNA浓度与孕周、母体体重等因素相关[1,2]。附件包含男胎1082条记录、267名孕妇；同一孕妇可能重复检测。因此问题1保留记录级纵向结构，问题2、3以孕妇为单位构造达标时间和验证折。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表2 三个子问题的数据层级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462"/>
        <w:gridCol w:w="2048"/>
        <w:gridCol w:w="2925"/>
        <w:gridCol w:w="2925"/>
      </w:tblGrid>
      <w:tr>
        <w:trPr>
          <w:tblHeader w:val="true"/>
        </w:trPr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层级</w:t>
            </w:r>
          </w:p>
        </w:tc>
        <w:tc>
          <w:tcPr>
            <w:tcW w:type="dxa" w:w="2048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样本单位</w:t>
            </w:r>
          </w:p>
        </w:tc>
        <w:tc>
          <w:tcPr>
            <w:tcW w:type="dxa" w:w="292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用途</w:t>
            </w:r>
          </w:p>
        </w:tc>
        <w:tc>
          <w:tcPr>
            <w:tcW w:type="dxa" w:w="292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防泄漏规则</w:t>
            </w:r>
          </w:p>
        </w:tc>
      </w:tr>
      <w:tr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问题1</w:t>
            </w:r>
          </w:p>
        </w:tc>
        <w:tc>
          <w:tcPr>
            <w:tcW w:type="dxa" w:w="20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1082条记录/267人</w:t>
            </w:r>
          </w:p>
        </w:tc>
        <w:tc>
          <w:tcPr>
            <w:tcW w:type="dxa" w:w="29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Y浓度关联模型</w:t>
            </w:r>
          </w:p>
        </w:tc>
        <w:tc>
          <w:tcPr>
            <w:tcW w:type="dxa" w:w="29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孕妇随机截距</w:t>
            </w:r>
          </w:p>
        </w:tc>
      </w:tr>
      <w:tr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问题2、3</w:t>
            </w:r>
          </w:p>
        </w:tc>
        <w:tc>
          <w:tcPr>
            <w:tcW w:type="dxa" w:w="20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267名孕妇</w:t>
            </w:r>
          </w:p>
        </w:tc>
        <w:tc>
          <w:tcPr>
            <w:tcW w:type="dxa" w:w="29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达标时间和时点决策</w:t>
            </w:r>
          </w:p>
        </w:tc>
        <w:tc>
          <w:tcPr>
            <w:tcW w:type="dxa" w:w="29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同一孕妇不跨折；患者级Bootstrap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由表2可见三问共享原始附件，但分析单位和防泄漏措施不同；原始记录结构见图1。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370919"/>
            <wp:docPr id="1" name="Picture 1" descr="散点图展示检测孕周、Y浓度和记录级BMI，并标出4%达标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1_y_week_bm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7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图1 记录级孕周、BMI与Y染色体浓度</w:t>
      </w:r>
    </w:p>
    <w:p>
      <w:pPr>
        <w:pStyle w:val="Heading1"/>
        <w:keepNext/>
      </w:pPr>
      <w:r>
        <w:t>2 数据预处理与统一假设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孕周w+d统一换算为w+d/7周，Y浓度按比例计算，题面4%写为0.04。问题2、3的BMI、年龄、身高、体重、IVF、孕次和产次均取同一孕妇记录中位数；缺失则终止，不做隐式填补。首次观测即达标记为左删失，前次未达标而后次达标记为区间删失，最后一次仍未达标记为右删失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核心假设包括：附件记录可代表本样本内的浓度变化；在10—25周候选窗内，AFT条件分布可用于比较政策；患者级重采样足以描述内部抽样波动。题面把≤12周、13—27周和≥28周分为三级风险，因此18周和22周在题面上同属中期。</w:t>
      </w:r>
    </w:p>
    <w:p>
      <w:pPr>
        <w:pStyle w:val="Heading1"/>
        <w:keepNext/>
      </w:pPr>
      <w:r>
        <w:t>3 问题1：纵向关联模型</w:t>
      </w:r>
    </w:p>
    <w:p>
      <w:pPr>
        <w:pStyle w:val="Heading2"/>
        <w:keepNext/>
      </w:pPr>
      <w:r>
        <w:t>3.1 模型与检验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令Yij为孕妇i第j次检测的Y浓度，Wij、Bij为该记录标准化孕周和BMI，ui为孕妇随机截距。随机效应模型适合处理纵向重复观测相关性[5]。主模型为：</w:t>
      </w:r>
    </w:p>
    <w:p>
      <w:pPr>
        <w:keepLines/>
        <w:jc w:val="center"/>
      </w:pPr>
      <m:oMathPara>
        <m:oMath>
          <m:r>
            <m:t>logit</m:t>
          </m:r>
          <m:sSub>
            <m:e>
              <m:r>
                <m:t>(Y</m:t>
              </m:r>
            </m:e>
            <m:sub>
              <m:r>
                <m:t>ij</m:t>
              </m:r>
            </m:sub>
          </m:sSub>
          <m:r>
            <m:t>)=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ij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Sup>
            <m:e>
              <m:r>
                <m:t>W</m:t>
              </m:r>
            </m:e>
            <m:sub>
              <m:r>
                <m:t>ij</m:t>
              </m:r>
            </m:sub>
            <m:sup>
              <m:r>
                <m:t>2</m:t>
              </m:r>
            </m:sup>
          </m:sSubSup>
          <m: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ij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>
            <m:e>
              <m:r>
                <m:t>W</m:t>
              </m:r>
            </m:e>
            <m:sub>
              <m:r>
                <m:t>ij</m:t>
              </m:r>
            </m:sub>
          </m:sSub>
          <m:sSub>
            <m:e>
              <m:r>
                <m:t>B</m:t>
              </m:r>
            </m:e>
            <m:sub>
              <m:r>
                <m:t>ij</m:t>
              </m:r>
            </m:sub>
          </m:sSub>
          <m:sSub>
            <m:e>
              <m:r>
                <m:t>+u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ε</m:t>
              </m:r>
            </m:e>
            <m:sub>
              <m:r>
                <m:t>ij</m:t>
              </m:r>
            </m:sub>
          </m:sSub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二次项刻画孕周曲率，交互项检验BMI是否改变孕周斜率。扩展模型增加年龄、身高、IVF、唯一比对读段数、比对比例和GC含量；基础与扩展模型用最大似然拟合，单项采用Wald检验，整体增量采用似然比检验。图2给出残差与正态性诊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556256"/>
            <wp:docPr id="2" name="Picture 2" descr="左为残差对拟合值，右为残差Q-Q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1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5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图2 问题1基础模型残差诊断</w:t>
      </w:r>
    </w:p>
    <w:p>
      <w:pPr>
        <w:pStyle w:val="Heading2"/>
        <w:keepNext/>
      </w:pPr>
      <w:r>
        <w:t>3.2 结果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表3 问题1基础混合模型固定效应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2340"/>
        <w:gridCol w:w="1462"/>
        <w:gridCol w:w="1462"/>
        <w:gridCol w:w="1462"/>
        <w:gridCol w:w="2634"/>
      </w:tblGrid>
      <w:tr>
        <w:trPr>
          <w:tblHeader w:val="true"/>
        </w:trPr>
        <w:tc>
          <w:tcPr>
            <w:tcW w:type="dxa" w:w="2340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中心化条件效应</w:t>
            </w:r>
          </w:p>
        </w:tc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系数</w:t>
            </w:r>
          </w:p>
        </w:tc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标准误</w:t>
            </w:r>
          </w:p>
        </w:tc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p值</w:t>
            </w:r>
          </w:p>
        </w:tc>
        <w:tc>
          <w:tcPr>
            <w:tcW w:type="dxa" w:w="2634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95%CI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孕周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0.1668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0.0114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3.32e-48</w:t>
            </w:r>
          </w:p>
        </w:tc>
        <w:tc>
          <w:tcPr>
            <w:tcW w:type="dxa" w:w="263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[0.1444,0.1892]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孕周²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0.0428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0.0094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5.8e-06</w:t>
            </w:r>
          </w:p>
        </w:tc>
        <w:tc>
          <w:tcPr>
            <w:tcW w:type="dxa" w:w="263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[0.0243,0.0612]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-0.0719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0.0238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0.0025</w:t>
            </w:r>
          </w:p>
        </w:tc>
        <w:tc>
          <w:tcPr>
            <w:tcW w:type="dxa" w:w="263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[-0.1185,-0.0253]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孕周×BMI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0.0084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0.0088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0.336</w:t>
            </w:r>
          </w:p>
        </w:tc>
        <w:tc>
          <w:tcPr>
            <w:tcW w:type="dxa" w:w="263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[-0.0088,0.0256]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3可见：孕周线性项0.1668（p&lt;10⁻⁴⁷）、二次项0.0428（p=5.80×10⁻⁶）均为正；BMI项−0.0719（p=0.00250）为负；交互项p=0.336，不支持不同BMI具有显著不同的孕周增长斜率。扩展模型AIC由836.330降至817.693，LRT=30.637、df=6、p=2.97×10⁻⁵，说明辅助变量整体增加统计解释量，但不等于因果机制；图3显示主要效应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155019"/>
            <wp:docPr id="3" name="Picture 3" descr="森林图展示标准化中心化条件效应；零线表示无效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1_eff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图3 问题1基础混合模型效应及95%置信区间</w:t>
      </w:r>
    </w:p>
    <w:p>
      <w:pPr>
        <w:pStyle w:val="Heading1"/>
        <w:keepNext/>
      </w:pPr>
      <w:r>
        <w:t>4 问题2：BMI分组与最佳时点</w:t>
      </w:r>
    </w:p>
    <w:p>
      <w:pPr>
        <w:pStyle w:val="Heading2"/>
        <w:keepNext/>
      </w:pPr>
      <w:r>
        <w:t>4.1 区间删失AFT与全局分箱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设Ti为首次达到4%的孕周，Fi(t)=P(Ti≤t|xi)。左删失、区间删失和右删失的似然贡献分别如下，训练最小化负对数似然。XGBoost-AFT可直接接收下、上界，并在外4折、内3折患者级验证中完成早停与概率预测[3,7]。嵌套验证用于降低调参与误差估计复用造成的偏差[4]。</w:t>
      </w:r>
    </w:p>
    <w:p>
      <w:pPr>
        <w:keepLines/>
        <w:jc w:val="center"/>
      </w:pPr>
      <m:oMathPara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sSub>
                      <m:e>
                        <m:r>
                          <m:t>F(U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|x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),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=0</m:t>
                    </m:r>
                  </m:e>
                </m:mr>
                <m:mr>
                  <m:e>
                    <m:sSub>
                      <m:e>
                        <m:r>
                          <m:t>F(U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|x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)-F(L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|x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),</m:t>
                    </m:r>
                  </m:e>
                  <m:e>
                    <m:sSub>
                      <m:e>
                        <m:r>
                          <m:t>0&lt;L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&lt;U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&lt;</m:t>
                    </m:r>
                    <m:r>
                      <m:t>∞</m:t>
                    </m:r>
                  </m:e>
                </m:mr>
                <m:mr>
                  <m:e>
                    <m:sSub>
                      <m:e>
                        <m:r>
                          <m:t>1-F(L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|x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),</m:t>
                    </m:r>
                  </m:e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=</m:t>
                    </m:r>
                    <m:r>
                      <m:t>∞</m:t>
                    </m:r>
                  </m:e>
                </m:mr>
              </m:m>
            </m:e>
          </m:d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在冻结的训练OOF概率上，按BMI排序并在相邻不同BMI值之间进行全局Optimal Binning搜索；候选区间连续，每组至少30人。该方法在给定候选空间内全局比较分段，不等同于局部贪心决策树；图4显示切点位于样本分布的高BMI尾部。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57327"/>
            <wp:docPr id="4" name="Picture 4" descr="患者级BMI直方图；竖线为34.357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2_bmi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5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图4 问题2BMI分布与Optimal Binning切点</w:t>
      </w:r>
    </w:p>
    <w:p>
      <w:pPr>
        <w:pStyle w:val="Heading2"/>
        <w:keepNext/>
      </w:pPr>
      <w:r>
        <w:t>4.2 三方案判优与主推荐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表4 问题2三套固定时点方案比较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376"/>
        <w:gridCol w:w="1376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376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方案</w:t>
            </w:r>
          </w:p>
        </w:tc>
        <w:tc>
          <w:tcPr>
            <w:tcW w:type="dxa" w:w="1376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平均周</w:t>
            </w:r>
          </w:p>
        </w:tc>
        <w:tc>
          <w:tcPr>
            <w:tcW w:type="dxa" w:w="165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总体达标概率</w:t>
            </w:r>
          </w:p>
        </w:tc>
        <w:tc>
          <w:tcPr>
            <w:tcW w:type="dxa" w:w="165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Bootstrap安全率</w:t>
            </w:r>
          </w:p>
        </w:tc>
        <w:tc>
          <w:tcPr>
            <w:tcW w:type="dxa" w:w="165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重复折安全率</w:t>
            </w:r>
          </w:p>
        </w:tc>
        <w:tc>
          <w:tcPr>
            <w:tcW w:type="dxa" w:w="165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状态改变率</w:t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15/18</w:t>
            </w:r>
          </w:p>
        </w:tc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15.584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0.9102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0.9812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0.83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0.0435</w:t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16/18</w:t>
            </w:r>
          </w:p>
        </w:tc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16.390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0.9244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0.9976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0.94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0.0393</w:t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18/22</w:t>
            </w:r>
          </w:p>
        </w:tc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18.779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0.9555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1.0000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1.00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0.0272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4给出三套离散方案。问题2固定政策的部署安全线为组内最低概率0.89；稳定门槛为Bootstrap安全率≥0.95、重复折安全率≥0.90、100次重复四折中4/4折全部安全的比例≥0.70。18/22三项稳定性均为1.0，故在题面三级风险下作为主推荐：BMI&lt;34.357的215人建议18周，BMI≥34.357的52人建议22周。图5展示三类稳定性指标，图6展示总体达标概率与平均推荐周的权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370919"/>
            <wp:docPr id="5" name="Picture 5" descr="分别展示Bootstrap安全率、重复折安全率和重复4/4比例；离散政策之间不连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2_policy_st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7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图5 问题2三套离散政策的稳定性点图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370919"/>
            <wp:docPr id="6" name="Picture 6" descr="三个离散方案的总体均值；不与组内最低安全线混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trade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7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图6 问题2总体达标概率与平均推荐孕周权衡</w:t>
      </w:r>
    </w:p>
    <w:p>
      <w:pPr>
        <w:pStyle w:val="Heading2"/>
        <w:keepNext/>
      </w:pPr>
      <w:r>
        <w:t>4.3 连续等待风险敏感性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为回答“是否越早越好”，扩展分析定义准确性损失Ra、连续等待损失Rt和不稳定损失Rs：</w:t>
      </w:r>
    </w:p>
    <w:p>
      <w:pPr>
        <w:keepLines/>
        <w:jc w:val="center"/>
      </w:pPr>
      <m:oMathPara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=1-</m:t>
          </m:r>
          <m:r>
            <m:t>mean</m:t>
          </m:r>
          <m:sSub>
            <m:e>
              <m:r>
                <m:t>[F</m:t>
              </m:r>
            </m:e>
            <m:sub>
              <m:r>
                <m:t>i</m:t>
              </m:r>
            </m:sub>
          </m:sSub>
          <m:sSub>
            <m:e>
              <m:r>
                <m:t>(t</m:t>
              </m:r>
            </m:e>
            <m:sub>
              <m:r>
                <m:t>i</m:t>
              </m:r>
            </m:sub>
          </m:sSub>
          <m:r>
            <m:t>)],</m:t>
          </m:r>
          <m:r>
            <m:t xml:space="preserve">  </m:t>
          </m:r>
          <m:sSub>
            <m:e>
              <m:r>
                <m:t xml:space="preserve"> R</m:t>
              </m:r>
            </m:e>
            <m:sub>
              <m:r>
                <m:t>t</m:t>
              </m:r>
            </m:sub>
          </m:sSub>
          <m:r>
            <m:t>=</m:t>
          </m:r>
          <m:r>
            <m:t>mean</m:t>
          </m:r>
          <m:r>
            <m:t>[</m:t>
          </m:r>
          <m:r>
            <m:t>clip</m:t>
          </m:r>
          <m:sSub>
            <m:e>
              <m:r>
                <m:t>((t</m:t>
              </m:r>
            </m:e>
            <m:sub>
              <m:r>
                <m:t>i</m:t>
              </m:r>
            </m:sub>
          </m:sSub>
          <m:r>
            <m:t>-13)/14,0,1)],</m:t>
          </m:r>
          <m:r>
            <m:t xml:space="preserve">  </m:t>
          </m:r>
          <m:sSub>
            <m:e>
              <m:r>
                <m:t xml:space="preserve"> R</m:t>
              </m:r>
            </m:e>
            <m:sub>
              <m:r>
                <m:t>s</m:t>
              </m:r>
            </m:sub>
          </m:sSub>
          <m:sSub>
            <m:e>
              <m:r>
                <m:t>=1-r</m:t>
              </m:r>
            </m:e>
            <m:sub>
              <m:r>
                <m:t>safe</m:t>
              </m:r>
            </m:sub>
          </m:sSub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三类损失组成加权风险：</w:t>
      </w:r>
    </w:p>
    <w:p>
      <w:pPr>
        <w:keepLines/>
        <w:jc w:val="center"/>
      </w:pPr>
      <m:oMathPara>
        <m:oMath>
          <m:sSub>
            <m:e>
              <m:r>
                <m:t>R=w</m:t>
              </m:r>
            </m:e>
            <m:sub>
              <m:r>
                <m:t>a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</m:sub>
          </m:sSub>
          <m:sSub>
            <m:e>
              <m:r>
                <m:t>+w</m:t>
              </m:r>
            </m:e>
            <m:sub>
              <m:r>
                <m:t>t</m:t>
              </m:r>
            </m:sub>
          </m:sSub>
          <m:sSub>
            <m:e>
              <m:r>
                <m:t>R</m:t>
              </m:r>
            </m:e>
            <m:sub>
              <m:r>
                <m:t>t</m:t>
              </m:r>
            </m:sub>
          </m:sSub>
          <m:sSub>
            <m:e>
              <m:r>
                <m:t>+w</m:t>
              </m:r>
            </m:e>
            <m:sub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t>,</m:t>
          </m:r>
          <m:r>
            <m:t xml:space="preserve">  </m:t>
          </m:r>
          <m:sSub>
            <m:e>
              <m:r>
                <m:t xml:space="preserve"> w</m:t>
              </m:r>
            </m:e>
            <m:sub>
              <m:r>
                <m:t>a</m:t>
              </m:r>
            </m:sub>
          </m:sSub>
          <m:sSub>
            <m:e>
              <m:r>
                <m:t>+w</m:t>
              </m:r>
            </m:e>
            <m:sub>
              <m:r>
                <m:t>t</m:t>
              </m:r>
            </m:sub>
          </m:sSub>
          <m:sSub>
            <m:e>
              <m:r>
                <m:t>+w</m:t>
              </m:r>
            </m:e>
            <m:sub>
              <m:r>
                <m:t>s</m:t>
              </m:r>
            </m:sub>
          </m:sSub>
          <m:r>
            <m:t>=1</m:t>
          </m:r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当ws=0时，16/18仅在0.8022≤wa≤0.8461（0.1539≤wt≤0.1978）范围内最优。因此16/18是中期内部等待损失连续增加假设下的折中方案，不与题面18/22主答案并列。</w:t>
      </w:r>
    </w:p>
    <w:p>
      <w:pPr>
        <w:pStyle w:val="Heading1"/>
        <w:keepNext/>
      </w:pPr>
      <w:r>
        <w:t>5 问题3：多因素约束下的稳健分组</w:t>
      </w:r>
    </w:p>
    <w:p>
      <w:pPr>
        <w:pStyle w:val="Heading2"/>
        <w:keepNext/>
      </w:pPr>
      <w:r>
        <w:t>5.1 多因素是否值得增加复杂度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多因素AFT和仅BMI AFT的外层负对数似然均值分别为0.710316和0.711323，差异约−0.00101；配对区间评分差的Bootstrap区间跨0（−0.01880至0.02885）。因此辅助变量可用于风险校准，但不足以支持大量分组或逐人政策。患者级原始变量中身高、体重和BMI存在相关结构，置换重要性只作预测证据，不作因果解释；图7给出原始协变量相关矩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4024376"/>
            <wp:docPr id="7" name="Picture 7" descr="由男胎附件按孕妇中位数聚合；颜色表示Pearson相关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3_feature_evid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24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图7 问题3患者级原始协变量相关矩阵</w:t>
      </w:r>
    </w:p>
    <w:p>
      <w:pPr>
        <w:pStyle w:val="Heading2"/>
        <w:keepNext/>
      </w:pPr>
      <w:r>
        <w:t>5.2 无外层选参的嵌套选组审计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开发可靠性q=0.95预先固定。BMI稳定排序后仅在不同值之间切分，每组至少30人；区间g在周t的保守下限及动态规划目标为：</w:t>
      </w:r>
    </w:p>
    <w:p>
      <w:pPr>
        <w:keepLines/>
        <w:jc w:val="center"/>
      </w:pPr>
      <m:oMathPara>
        <m:oMath>
          <m:sSub>
            <m:e>
              <m:r>
                <m:t>LCB</m:t>
              </m:r>
            </m:e>
            <m:sub>
              <m:r>
                <m:t>g</m:t>
              </m:r>
            </m:sub>
          </m:sSub>
          <m:r>
            <m:t>(t)=</m:t>
          </m:r>
          <m:sSub>
            <m:e>
              <m:acc>
                <m:accPr>
                  <m:chr m:val="̅"/>
                </m:accPr>
                <m:e>
                  <m:r>
                    <m:t>F</m:t>
                  </m:r>
                </m:e>
              </m:acc>
            </m:e>
            <m:sub>
              <m:r>
                <m:t>g</m:t>
              </m:r>
            </m:sub>
          </m:sSub>
          <m:r>
            <m:t>(t)-1.645</m:t>
          </m:r>
          <m:f>
            <m:num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  <m:r>
                <m:t>(t)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rad>
            </m:den>
          </m:f>
          <m:r>
            <m:t>,</m:t>
          </m:r>
          <m:r>
            <m:t xml:space="preserve">  </m:t>
          </m:r>
          <m:r>
            <m:t xml:space="preserve"> </m:t>
          </m:r>
          <m:r>
            <m:t>min</m:t>
          </m:r>
          <m:sSub>
            <m:e>
              <m:r>
                <m:t>∑</m:t>
              </m:r>
            </m:e>
            <m:sub>
              <m:r>
                <m:t>g</m:t>
              </m:r>
            </m:sub>
          </m:sSub>
          <m:sSub>
            <m:e>
              <m:r>
                <m:t xml:space="preserve"> n</m:t>
              </m:r>
            </m:e>
            <m:sub>
              <m:r>
                <m:t>g</m:t>
              </m:r>
            </m:sub>
          </m:sSub>
          <m:sSub>
            <m:e>
              <m:r>
                <m:t>t</m:t>
              </m:r>
            </m:e>
            <m:sub>
              <m:r>
                <m:t>g</m:t>
              </m:r>
            </m:sub>
          </m:sSub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每个外层折内只依据开发平均孕周判优，并在0.25周近优范围内选最少组；外层指标不参与选择。图8所示结果为审计层均值安全4/4折、LCB安全3/4折，平均测试孕周18.949，平均测试达标概率0.9556；四折分别选1组两次、2组两次。这一结果验证的是选组流程，不是最终切点35政策的无偏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610951"/>
            <wp:docPr id="8" name="Picture 8" descr="左图标注每折选中组数；右图给出四分位审计层最低均值与LCB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3_group_sel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10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图8 问题3无外层选参的逐折审计</w:t>
      </w:r>
    </w:p>
    <w:p>
      <w:pPr>
        <w:pStyle w:val="Heading2"/>
        <w:keepNext/>
      </w:pPr>
      <w:r>
        <w:t>5.3 开发后固定政策与建议表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表5 问题3开发后固定政策建议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2340"/>
        <w:gridCol w:w="1462"/>
        <w:gridCol w:w="1755"/>
        <w:gridCol w:w="3803"/>
      </w:tblGrid>
      <w:tr>
        <w:trPr>
          <w:tblHeader w:val="true"/>
        </w:trPr>
        <w:tc>
          <w:tcPr>
            <w:tcW w:type="dxa" w:w="2340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BMI分组</w:t>
            </w:r>
          </w:p>
        </w:tc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人数</w:t>
            </w:r>
          </w:p>
        </w:tc>
        <w:tc>
          <w:tcPr>
            <w:tcW w:type="dxa" w:w="175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推荐时点</w:t>
            </w:r>
          </w:p>
        </w:tc>
        <w:tc>
          <w:tcPr>
            <w:tcW w:type="dxa" w:w="3803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性质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 &lt; 35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227</w:t>
            </w:r>
          </w:p>
        </w:tc>
        <w:tc>
          <w:tcPr>
            <w:tcW w:type="dxa" w:w="175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第18周</w:t>
            </w:r>
          </w:p>
        </w:tc>
        <w:tc>
          <w:tcPr>
            <w:tcW w:type="dxa" w:w="3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问题3主推荐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 ≥ 35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40</w:t>
            </w:r>
          </w:p>
        </w:tc>
        <w:tc>
          <w:tcPr>
            <w:tcW w:type="dxa" w:w="175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第22周</w:t>
            </w:r>
          </w:p>
        </w:tc>
        <w:tc>
          <w:tcPr>
            <w:tcW w:type="dxa" w:w="3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问题3主推荐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由表5给出最终简化建议：BMI&lt;35的227人建议18周，BMI≥35的40人建议22周。固定政策内部回放的四个外层折中，政策组均值和LCB均4/4通过，5000次患者Bootstrap安全率为1.0；总体达标概率约0.9533。切点Bootstrap 95%分位区间为[30.494,36.158]，两组重复中18/23出现449次而18/22仅80次，故35与18/22应表述为开发完成后的简化部署政策，而非Bootstrap众数或独立无偏泛化结果；图9只表示固定政策内部回放。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665645"/>
            <wp:docPr id="9" name="Picture 9" descr="左为BMI 35分组和18/22周；右为开发后固定政策的内部回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final_poli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65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图9 问题3整数BMI政策及固定政策内部回放</w:t>
      </w:r>
    </w:p>
    <w:p>
      <w:pPr>
        <w:pStyle w:val="Heading1"/>
        <w:keepNext/>
      </w:pPr>
      <w:r>
        <w:t>6 测量误差与稳健性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表6 问题2与问题3的测量误差和重采样结果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985"/>
        <w:gridCol w:w="1985"/>
        <w:gridCol w:w="1985"/>
        <w:gridCol w:w="3405"/>
      </w:tblGrid>
      <w:tr>
        <w:trPr>
          <w:tblHeader w:val="true"/>
        </w:trPr>
        <w:tc>
          <w:tcPr>
            <w:tcW w:type="dxa" w:w="198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项目</w:t>
            </w:r>
          </w:p>
        </w:tc>
        <w:tc>
          <w:tcPr>
            <w:tcW w:type="dxa" w:w="198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问题2主政策</w:t>
            </w:r>
          </w:p>
        </w:tc>
        <w:tc>
          <w:tcPr>
            <w:tcW w:type="dxa" w:w="198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问题3固定政策</w:t>
            </w:r>
          </w:p>
        </w:tc>
        <w:tc>
          <w:tcPr>
            <w:tcW w:type="dxa" w:w="340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解释</w:t>
            </w:r>
          </w:p>
        </w:tc>
      </w:tr>
      <w:tr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Y浓度误差SD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0.003716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沿用同源估计</w:t>
            </w:r>
          </w:p>
        </w:tc>
        <w:tc>
          <w:tcPr>
            <w:tcW w:type="dxa" w:w="340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约0.372个百分点</w:t>
            </w:r>
          </w:p>
        </w:tc>
      </w:tr>
      <w:tr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状态改变率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0.027154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0.027236</w:t>
            </w:r>
          </w:p>
        </w:tc>
        <w:tc>
          <w:tcPr>
            <w:tcW w:type="dxa" w:w="340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扰动后4%删失状态变化</w:t>
            </w:r>
          </w:p>
        </w:tc>
      </w:tr>
      <w:tr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Bootstrap安全率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1.000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1.000</w:t>
            </w:r>
          </w:p>
        </w:tc>
        <w:tc>
          <w:tcPr>
            <w:tcW w:type="dxa" w:w="340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患者级内部重采样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由表6汇总误差与重采样结果。误差模拟检查4%阈值附近的状态扰动，不等同于胎儿疾病误诊率。患者Bootstrap以孕妇为抽样单元[6]，避免把同一孕妇多条记录当作独立样本。</w:t>
      </w:r>
    </w:p>
    <w:p>
      <w:pPr>
        <w:pStyle w:val="Heading1"/>
        <w:keepNext/>
      </w:pPr>
      <w:r>
        <w:t>7 模型评价、优点与局限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评价顺序为：先满足无泄漏和可靠性约束，再比较稳定性与平均推荐孕周，最后考虑模型复杂度与解释性。优点是保留纵向重复测量、显式处理三类删失、以患者为验证单位，并把题面风险与连续风险敏感性分开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局限性包括：样本仅267名孕妇且来自单一数据源；高BMI尾部人数较少；切点区间较宽；LCB是预设保守评分而非严格临床置信保证；多因素增益不稳定；最终35与18/22经过全数据探索，尚无完全独立测试集或外部医院验证。因此结果只能用于数学建模与研究性检测时点分流，不能作为临床诊断或处置依据。</w:t>
      </w:r>
    </w:p>
    <w:p>
      <w:pPr>
        <w:pStyle w:val="Heading1"/>
        <w:keepNext/>
      </w:pPr>
      <w:r>
        <w:t>8 结论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表7 问题1—3最终结论与适用范围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233"/>
        <w:gridCol w:w="4764"/>
        <w:gridCol w:w="3363"/>
      </w:tblGrid>
      <w:tr>
        <w:trPr>
          <w:tblHeader w:val="true"/>
        </w:trPr>
        <w:tc>
          <w:tcPr>
            <w:tcW w:type="dxa" w:w="1233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4764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结论</w:t>
            </w:r>
          </w:p>
        </w:tc>
        <w:tc>
          <w:tcPr>
            <w:tcW w:type="dxa" w:w="3363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证据等级/适用范围</w:t>
            </w:r>
          </w:p>
        </w:tc>
      </w:tr>
      <w:tr>
        <w:tc>
          <w:tcPr>
            <w:tcW w:type="dxa" w:w="12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47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孕周与Y浓度正相关，BMI与其负相关；交互不显著</w:t>
            </w:r>
          </w:p>
        </w:tc>
        <w:tc>
          <w:tcPr>
            <w:tcW w:type="dxa" w:w="33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条件关联；内部纵向模型</w:t>
            </w:r>
          </w:p>
        </w:tc>
      </w:tr>
      <w:tr>
        <w:tc>
          <w:tcPr>
            <w:tcW w:type="dxa" w:w="12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47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BMI&lt;34.357于18周，BMI≥34.357于22周</w:t>
            </w:r>
          </w:p>
        </w:tc>
        <w:tc>
          <w:tcPr>
            <w:tcW w:type="dxa" w:w="33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题面三级风险的内部主推荐</w:t>
            </w:r>
          </w:p>
        </w:tc>
      </w:tr>
      <w:tr>
        <w:tc>
          <w:tcPr>
            <w:tcW w:type="dxa" w:w="12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2敏感性</w:t>
            </w:r>
          </w:p>
        </w:tc>
        <w:tc>
          <w:tcPr>
            <w:tcW w:type="dxa" w:w="47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BMI&lt;34.357于16周，BMI≥34.357于18周</w:t>
            </w:r>
          </w:p>
        </w:tc>
        <w:tc>
          <w:tcPr>
            <w:tcW w:type="dxa" w:w="33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仅在特定连续风险权重区间</w:t>
            </w:r>
          </w:p>
        </w:tc>
      </w:tr>
      <w:tr>
        <w:tc>
          <w:tcPr>
            <w:tcW w:type="dxa" w:w="12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47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BMI&lt;35于18周，BMI≥35于22周</w:t>
            </w:r>
          </w:p>
        </w:tc>
        <w:tc>
          <w:tcPr>
            <w:tcW w:type="dxa" w:w="33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开发后固定政策内部稳定性建议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7汇总最终结论。综合而言，更多分组和更多变量没有带来足够稳定的净收益。当前最合理的工程方案是保留问题2精确切点作为算法结果，在问题3用整数35形成便于解释的两组政策，同时明确其内部验证边界。</w:t>
      </w:r>
    </w:p>
    <w:p>
      <w:pPr>
        <w:pStyle w:val="Heading1"/>
        <w:keepNext/>
      </w:pPr>
      <w:r>
        <w:t>参考文献</w:t>
      </w:r>
    </w:p>
    <w:p>
      <w:pPr>
        <w:spacing w:after="60"/>
        <w:ind w:left="397" w:hanging="397"/>
      </w:pPr>
      <w:r>
        <w:rPr>
          <w:rFonts w:ascii="Times New Roman" w:hAnsi="Times New Roman" w:eastAsia="宋体"/>
          <w:b w:val="0"/>
          <w:color w:val="202124"/>
          <w:sz w:val="18"/>
        </w:rPr>
        <w:t>[1] Ashoor G, Syngelaki A, Poon LCY, Rezende JC, Nicolaides KH. Fetal fraction in maternal plasma cell-free DNA at 11–13 weeks’ gestation: relation to maternal and fetal characteristics. Ultrasound in Obstetrics &amp; Gynecology, 2013, 41(1): 26–32. DOI:10.1002/uog.12331.</w:t>
      </w:r>
    </w:p>
    <w:p>
      <w:pPr>
        <w:spacing w:after="60"/>
        <w:ind w:left="397" w:hanging="397"/>
      </w:pPr>
      <w:r>
        <w:rPr>
          <w:rFonts w:ascii="Times New Roman" w:hAnsi="Times New Roman" w:eastAsia="宋体"/>
          <w:b w:val="0"/>
          <w:color w:val="202124"/>
          <w:sz w:val="18"/>
        </w:rPr>
        <w:t>[2] Wang E, Batey A, Struble C, Musci T, Song K, Oliphant A. Gestational age and maternal weight effects on fetal cell-free DNA in maternal plasma. Prenatal Diagnosis, 2013, 33(7): 662–666. DOI:10.1002/pd.4119.</w:t>
      </w:r>
    </w:p>
    <w:p>
      <w:pPr>
        <w:spacing w:after="60"/>
        <w:ind w:left="397" w:hanging="397"/>
      </w:pPr>
      <w:r>
        <w:rPr>
          <w:rFonts w:ascii="Times New Roman" w:hAnsi="Times New Roman" w:eastAsia="宋体"/>
          <w:b w:val="0"/>
          <w:color w:val="202124"/>
          <w:sz w:val="18"/>
        </w:rPr>
        <w:t>[3] Barnwal A, Cho H, Hocking TD. Survival Regression with Accelerated Failure Time Model in XGBoost. Journal of Computational and Graphical Statistics, 2022, 31(4): 1292–1302. DOI:10.1080/10618600.2022.2067548.</w:t>
      </w:r>
    </w:p>
    <w:p>
      <w:pPr>
        <w:spacing w:after="60"/>
        <w:ind w:left="397" w:hanging="397"/>
      </w:pPr>
      <w:r>
        <w:rPr>
          <w:rFonts w:ascii="Times New Roman" w:hAnsi="Times New Roman" w:eastAsia="宋体"/>
          <w:b w:val="0"/>
          <w:color w:val="202124"/>
          <w:sz w:val="18"/>
        </w:rPr>
        <w:t>[4] Varma S, Simon R. Bias in error estimation when using cross-validation for model selection. BMC Bioinformatics, 2006, 7:91. DOI:10.1186/1471-2105-7-91.</w:t>
      </w:r>
    </w:p>
    <w:p>
      <w:pPr>
        <w:spacing w:after="60"/>
        <w:ind w:left="397" w:hanging="397"/>
      </w:pPr>
      <w:r>
        <w:rPr>
          <w:rFonts w:ascii="Times New Roman" w:hAnsi="Times New Roman" w:eastAsia="宋体"/>
          <w:b w:val="0"/>
          <w:color w:val="202124"/>
          <w:sz w:val="18"/>
        </w:rPr>
        <w:t>[5] Laird NM, Ware JH. Random-effects models for longitudinal data. Biometrics, 1982, 38(4): 963–974. DOI:10.2307/2529876.</w:t>
      </w:r>
    </w:p>
    <w:p>
      <w:pPr>
        <w:spacing w:after="60"/>
        <w:ind w:left="397" w:hanging="397"/>
      </w:pPr>
      <w:r>
        <w:rPr>
          <w:rFonts w:ascii="Times New Roman" w:hAnsi="Times New Roman" w:eastAsia="宋体"/>
          <w:b w:val="0"/>
          <w:color w:val="202124"/>
          <w:sz w:val="18"/>
        </w:rPr>
        <w:t>[6] Efron B, Tibshirani RJ. An Introduction to the Bootstrap. New York: Chapman &amp; Hall, 1993.</w:t>
      </w:r>
    </w:p>
    <w:p>
      <w:pPr>
        <w:spacing w:after="60"/>
        <w:ind w:left="397" w:hanging="397"/>
      </w:pPr>
      <w:r>
        <w:rPr>
          <w:rFonts w:ascii="Times New Roman" w:hAnsi="Times New Roman" w:eastAsia="宋体"/>
          <w:b w:val="0"/>
          <w:color w:val="202124"/>
          <w:sz w:val="18"/>
        </w:rPr>
        <w:t>[7] Chen T, Guestrin C. XGBoost: A Scalable Tree Boosting System. Proceedings of KDD 2016: 785–794. DOI:10.1145/2939672.2939785.</w:t>
      </w:r>
    </w:p>
    <w:p>
      <w:pPr>
        <w:pStyle w:val="Heading1"/>
        <w:keepNext/>
      </w:pPr>
      <w:r>
        <w:t>附录A 复现与文件范围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唯一轻量入口为 E:\anaconda\python.exe C题\question123\run_q123.py。它重建问题1、校验问题2冻结政策、重建问题3无外层选参审计、校验问题2/3冻结结果哈希、重绘9组证据图并生成58项复现清单。历史大规模搜索不在默认命令中重跑。附件SHA-256为14827156218bd4f7e4f16db4aa6d9f757c6648379e038ae6c6b58383648614af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本报告为建模草稿与内部分析参考；正式参赛前仍需结合官方当年格式、队伍信息和篇幅要求二次排版。</w:t>
      </w:r>
    </w:p>
    <w:sectPr w:rsidR="00FC693F" w:rsidRPr="0006063C" w:rsidSect="00034616">
      <w:footerReference w:type="default" r:id="rId9"/>
      <w:pgSz w:w="11906" w:h="16838"/>
      <w:pgMar w:top="1247" w:right="1276" w:bottom="124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