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3niq5fbn0h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94aeygkujc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8ik8sfpnu33" w:id="2"/>
      <w:bookmarkEnd w:id="2"/>
      <w:r w:rsidDel="00000000" w:rsidR="00000000" w:rsidRPr="00000000">
        <w:rPr>
          <w:rtl w:val="0"/>
        </w:rPr>
        <w:t xml:space="preserve">Spherecast Challenge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contains a bit of additional information on the structure of the data and how to interpret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this drive folder you will find the db.sqlite file which contains the data to serve as the basis for the challenge described in depth in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Q-Hack x Spherecast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database contains real companies and real products with adjusted and rather approximated BOMs and ingredients.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567359" cy="37327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359" cy="3732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Background information on tables: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 is the end brand that customers buy a product from (like a chocolate bar from “Mars”)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BOM stands for bill of materials and is the collection of the ingredients (raw materials) required to produce the finished good; every product that is a finished good has a BOM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BOM has at least 2 BOM components (= the ingredients); all of the components have the type “raw-material’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supplier product shows that a certain supplier can deliver a given product; they only exist for raw materials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-OCKdKwlptdKi54Tfpa1XguySYDnbHY0JbCLKxwihs/edit?tab=t.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