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2E6EC" w14:textId="49A4C466" w:rsidR="008A4F9A" w:rsidRPr="008A4F9A" w:rsidRDefault="008A4F9A" w:rsidP="008A4F9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Catatan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Konstruksi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</w:rPr>
        <w:t>Pegembanagn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pengelolaan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</w:rPr>
        <w:t>administrasi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sebuah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institusi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kampus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serta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palikasi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layanan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penyedia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online learning management system</w:t>
      </w:r>
    </w:p>
    <w:sectPr w:rsidR="008A4F9A" w:rsidRPr="008A4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9A"/>
    <w:rsid w:val="006F48BD"/>
    <w:rsid w:val="008A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6EAD"/>
  <w15:chartTrackingRefBased/>
  <w15:docId w15:val="{7FB171FE-DE2A-41E9-BC93-AB33B38B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Syawal Aliefian</dc:creator>
  <cp:keywords/>
  <dc:description/>
  <cp:lastModifiedBy>Ibnu Syawal Aliefian</cp:lastModifiedBy>
  <cp:revision>1</cp:revision>
  <dcterms:created xsi:type="dcterms:W3CDTF">2025-06-26T16:32:00Z</dcterms:created>
  <dcterms:modified xsi:type="dcterms:W3CDTF">2025-06-26T16:35:00Z</dcterms:modified>
</cp:coreProperties>
</file>