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i w:val="false"/>
          <w:iCs w:val="false"/>
          <w:sz w:val="24"/>
          <w:szCs w:val="24"/>
        </w:rPr>
        <w:t xml:space="preserve">IN THE [COURT NAME]</w:t>
      </w:r>
    </w:p>
    <w:p>
      <w:pPr>
        <w:spacing w:after="200" w:line="360"/>
        <w:jc w:val="center"/>
      </w:pPr>
      <w:r>
        <w:rPr>
          <w:rFonts w:ascii="Times New Roman" w:cs="Times New Roman" w:eastAsia="Times New Roman" w:hAnsi="Times New Roman"/>
          <w:b/>
          <w:bCs/>
          <w:i w:val="false"/>
          <w:iCs w:val="false"/>
          <w:sz w:val="24"/>
          <w:szCs w:val="24"/>
        </w:rPr>
        <w:t xml:space="preserve">[STATE] — [COUNTY] DIVISION</w:t>
      </w:r>
    </w:p>
    <w:p>
      <w:pPr>
        <w:spacing w:after="200" w:line="360"/>
        <w:jc w:val="center"/>
      </w:pPr>
      <w:r>
        <w:rPr>
          <w:rFonts w:ascii="Times New Roman" w:cs="Times New Roman" w:eastAsia="Times New Roman" w:hAnsi="Times New Roman"/>
          <w:b w:val="false"/>
          <w:bCs w:val="false"/>
          <w:i w:val="false"/>
          <w:iCs w:val="false"/>
          <w:sz w:val="24"/>
          <w:szCs w:val="24"/>
        </w:rPr>
        <w:t xml:space="preserve">In the Matter of the Dependency Proceeding Concerning [CHILD INITIALS]</w:t>
      </w:r>
    </w:p>
    <w:p>
      <w:pPr>
        <w:spacing w:after="200" w:line="360"/>
        <w:jc w:val="center"/>
      </w:pPr>
      <w:r>
        <w:rPr>
          <w:rFonts w:ascii="Times New Roman" w:cs="Times New Roman" w:eastAsia="Times New Roman" w:hAnsi="Times New Roman"/>
          <w:b w:val="false"/>
          <w:bCs w:val="false"/>
          <w:i w:val="false"/>
          <w:iCs w:val="false"/>
          <w:sz w:val="24"/>
          <w:szCs w:val="24"/>
        </w:rPr>
        <w:t xml:space="preserve">Case No. __________</w:t>
      </w:r>
    </w:p>
    <w:p>
      <w:pPr>
        <w:spacing w:after="200" w:line="360"/>
        <w:jc w:val="center"/>
      </w:pPr>
      <w:r>
        <w:rPr>
          <w:rFonts w:ascii="Times New Roman" w:cs="Times New Roman" w:eastAsia="Times New Roman" w:hAnsi="Times New Roman"/>
          <w:b/>
          <w:bCs/>
          <w:i w:val="false"/>
          <w:iCs w:val="false"/>
          <w:sz w:val="24"/>
          <w:szCs w:val="24"/>
        </w:rPr>
        <w:t xml:space="preserve">MOTION TO DISMISS OR, IN THE ALTERNATIVE,</w:t>
      </w:r>
    </w:p>
    <w:p>
      <w:pPr>
        <w:spacing w:after="200" w:line="360"/>
        <w:jc w:val="center"/>
      </w:pPr>
      <w:r>
        <w:rPr>
          <w:rFonts w:ascii="Times New Roman" w:cs="Times New Roman" w:eastAsia="Times New Roman" w:hAnsi="Times New Roman"/>
          <w:b/>
          <w:bCs/>
          <w:i w:val="false"/>
          <w:iCs w:val="false"/>
          <w:sz w:val="24"/>
          <w:szCs w:val="24"/>
        </w:rPr>
        <w:t xml:space="preserve">FOR STAY PENDING PROPER SERVICE</w:t>
      </w:r>
    </w:p>
    <w:p>
      <w:pPr>
        <w:spacing w:after="200" w:line="360"/>
        <w:jc w:val="center"/>
      </w:pPr>
      <w:r>
        <w:rPr>
          <w:rFonts w:ascii="Times New Roman" w:cs="Times New Roman" w:eastAsia="Times New Roman" w:hAnsi="Times New Roman"/>
          <w:b/>
          <w:bCs/>
          <w:i w:val="false"/>
          <w:iCs w:val="false"/>
          <w:sz w:val="24"/>
          <w:szCs w:val="24"/>
        </w:rPr>
        <w:t xml:space="preserve">WITH REQUIRED FINDINGS OF FACT AND CONCLUSIONS OF LAW</w:t>
      </w:r>
    </w:p>
    <w:p>
      <w:pPr>
        <w:spacing w:after="200" w:line="360"/>
        <w:jc w:val="center"/>
      </w:pPr>
      <w:r>
        <w:rPr>
          <w:rFonts w:ascii="Times New Roman" w:cs="Times New Roman" w:eastAsia="Times New Roman" w:hAnsi="Times New Roman"/>
          <w:b w:val="false"/>
          <w:bCs w:val="false"/>
          <w:i/>
          <w:iCs/>
          <w:sz w:val="24"/>
          <w:szCs w:val="24"/>
        </w:rPr>
        <w:t xml:space="preserve">PRO SE — JAMES CHAPMAN, FATHER</w:t>
      </w:r>
    </w:p>
    <w:p>
      <w:pPr>
        <w:pStyle w:val="Heading1"/>
        <w:spacing w:after="200" w:before="300"/>
      </w:pPr>
      <w:r>
        <w:rPr>
          <w:rFonts w:ascii="Times New Roman" w:cs="Times New Roman" w:eastAsia="Times New Roman" w:hAnsi="Times New Roman"/>
          <w:b/>
          <w:bCs/>
          <w:sz w:val="26"/>
          <w:szCs w:val="26"/>
        </w:rPr>
        <w:t xml:space="preserve">PRELIMINARY STATEMENT</w:t>
      </w:r>
    </w:p>
    <w:p>
      <w:pPr>
        <w:spacing w:after="200" w:line="360"/>
        <w:jc w:val="left"/>
      </w:pPr>
      <w:r>
        <w:rPr>
          <w:rFonts w:ascii="Times New Roman" w:cs="Times New Roman" w:eastAsia="Times New Roman" w:hAnsi="Times New Roman"/>
          <w:b w:val="false"/>
          <w:bCs w:val="false"/>
          <w:i w:val="false"/>
          <w:iCs w:val="false"/>
          <w:sz w:val="24"/>
          <w:szCs w:val="24"/>
        </w:rPr>
        <w:t xml:space="preserve">My name is James Chapman. I am the father of these children. I appear today without counsel. I have not been properly served. I have not seen the petition, the affidavits, or any of the evidence the Department used to remove my children. I am asking this Court to dismiss this petition — or, at minimum, to stay all proceedings until I have been properly served and given a meaningful opportunity to respond.</w:t>
      </w:r>
    </w:p>
    <w:p>
      <w:pPr>
        <w:spacing w:after="200" w:line="360"/>
        <w:jc w:val="left"/>
      </w:pPr>
      <w:r>
        <w:rPr>
          <w:rFonts w:ascii="Times New Roman" w:cs="Times New Roman" w:eastAsia="Times New Roman" w:hAnsi="Times New Roman"/>
          <w:b w:val="false"/>
          <w:bCs w:val="false"/>
          <w:i w:val="false"/>
          <w:iCs w:val="false"/>
          <w:sz w:val="24"/>
          <w:szCs w:val="24"/>
        </w:rPr>
        <w:t xml:space="preserve">I am not asking this Court to take my word for anything. I am asking this Court to follow the Department's own actions, in sequence, to their logical conclusion. When examined in order, those facts do not suggest a constitutional violation — they prove one. More specifically, they prove that the Department manufactured the emergency it used to remove my children.</w:t>
      </w:r>
    </w:p>
    <w:p>
      <w:pPr>
        <w:spacing w:after="200" w:line="360"/>
        <w:jc w:val="left"/>
      </w:pPr>
      <w:r>
        <w:rPr>
          <w:rFonts w:ascii="Times New Roman" w:cs="Times New Roman" w:eastAsia="Times New Roman" w:hAnsi="Times New Roman"/>
          <w:b w:val="false"/>
          <w:bCs w:val="false"/>
          <w:i w:val="false"/>
          <w:iCs w:val="false"/>
          <w:sz w:val="24"/>
          <w:szCs w:val="24"/>
        </w:rPr>
        <w:t xml:space="preserve">The legal standard governing this Court's analysis is the Due Process Clause of the Fourteenth Amendment. The Supreme Court of the United States has held, without qualification or exception, that the parent-child relationship is among the oldest fundamental liberty interests recognized in American jurisprudence. Any judge who denies this motion is obligated to explain, in writing, why the controlling holdings of the following cases do not apply:</w:t>
      </w:r>
    </w:p>
    <w:p>
      <w:pPr>
        <w:spacing w:after="200" w:line="360"/>
        <w:jc w:val="left"/>
      </w:pPr>
      <w:r>
        <w:rPr>
          <w:rFonts w:ascii="Times New Roman" w:cs="Times New Roman" w:eastAsia="Times New Roman" w:hAnsi="Times New Roman"/>
          <w:b w:val="false"/>
          <w:bCs w:val="false"/>
          <w:i w:val="false"/>
          <w:iCs w:val="false"/>
          <w:sz w:val="24"/>
          <w:szCs w:val="24"/>
        </w:rPr>
        <w:t xml:space="preserve">Troxel v. Granville, 530 U.S. 57, 65 (2000) — “[T]he interest of parents in the care, custody, and control of their children — is perhaps the oldest of the fundamental liberty interests recognized by this Court.”</w:t>
      </w:r>
    </w:p>
    <w:p>
      <w:pPr>
        <w:spacing w:after="200" w:line="360"/>
        <w:jc w:val="left"/>
      </w:pPr>
      <w:r>
        <w:rPr>
          <w:rFonts w:ascii="Times New Roman" w:cs="Times New Roman" w:eastAsia="Times New Roman" w:hAnsi="Times New Roman"/>
          <w:b w:val="false"/>
          <w:bCs w:val="false"/>
          <w:i w:val="false"/>
          <w:iCs w:val="false"/>
          <w:sz w:val="24"/>
          <w:szCs w:val="24"/>
        </w:rPr>
        <w:t xml:space="preserve">Santosky v. Kramer, 455 U.S. 745, 753 (1982) — “[T]he interest of parents in their relationship with their children is sufficiently fundamental to come within the finite class of liberty interests protected by the Fourteenth Amendment.”</w:t>
      </w:r>
    </w:p>
    <w:p>
      <w:pPr>
        <w:spacing w:after="200" w:line="360"/>
        <w:jc w:val="left"/>
      </w:pPr>
      <w:r>
        <w:rPr>
          <w:rFonts w:ascii="Times New Roman" w:cs="Times New Roman" w:eastAsia="Times New Roman" w:hAnsi="Times New Roman"/>
          <w:b w:val="false"/>
          <w:bCs w:val="false"/>
          <w:i w:val="false"/>
          <w:iCs w:val="false"/>
          <w:sz w:val="24"/>
          <w:szCs w:val="24"/>
        </w:rPr>
        <w:t xml:space="preserve">Stanley v. Illinois, 405 U.S. 645, 651 (1972) — “The private interest here, that of a man in the children he has sired and raised, undeniably warrants deference and, absent a powerful countervailing interest, protection.”</w:t>
      </w:r>
    </w:p>
    <w:p>
      <w:pPr>
        <w:spacing w:after="200" w:line="360"/>
        <w:jc w:val="left"/>
      </w:pPr>
      <w:r>
        <w:rPr>
          <w:rFonts w:ascii="Times New Roman" w:cs="Times New Roman" w:eastAsia="Times New Roman" w:hAnsi="Times New Roman"/>
          <w:b w:val="false"/>
          <w:bCs w:val="false"/>
          <w:i w:val="false"/>
          <w:iCs w:val="false"/>
          <w:sz w:val="24"/>
          <w:szCs w:val="24"/>
        </w:rPr>
        <w:t xml:space="preserve">These are not minority positions. They are unanimous, binding, and unreversed. They represent the floor below which no court may go.</w:t>
      </w:r>
    </w:p>
    <w:p>
      <w:pPr>
        <w:pStyle w:val="Heading1"/>
        <w:spacing w:after="200" w:before="300"/>
      </w:pPr>
      <w:r>
        <w:rPr>
          <w:rFonts w:ascii="Times New Roman" w:cs="Times New Roman" w:eastAsia="Times New Roman" w:hAnsi="Times New Roman"/>
          <w:b/>
          <w:bCs/>
          <w:sz w:val="26"/>
          <w:szCs w:val="26"/>
        </w:rPr>
        <w:t xml:space="preserve">I. THE FACTS — IN SEQUENCE</w:t>
      </w:r>
    </w:p>
    <w:p>
      <w:pPr>
        <w:spacing w:after="200" w:line="360"/>
        <w:jc w:val="left"/>
      </w:pPr>
      <w:r>
        <w:rPr>
          <w:rFonts w:ascii="Times New Roman" w:cs="Times New Roman" w:eastAsia="Times New Roman" w:hAnsi="Times New Roman"/>
          <w:b w:val="false"/>
          <w:bCs w:val="false"/>
          <w:i w:val="false"/>
          <w:iCs w:val="false"/>
          <w:sz w:val="24"/>
          <w:szCs w:val="24"/>
        </w:rPr>
        <w:t xml:space="preserve">The sequence of the Department's own actions is the most important thing in this record. Each step must be understood in relation to the one before it.</w:t>
      </w:r>
    </w:p>
    <w:p>
      <w:pPr>
        <w:pStyle w:val="Heading2"/>
        <w:spacing w:after="160" w:before="240"/>
      </w:pPr>
      <w:r>
        <w:rPr>
          <w:rFonts w:ascii="Times New Roman" w:cs="Times New Roman" w:eastAsia="Times New Roman" w:hAnsi="Times New Roman"/>
          <w:b/>
          <w:bCs/>
          <w:sz w:val="24"/>
          <w:szCs w:val="24"/>
        </w:rPr>
        <w:t xml:space="preserve">Friday: My wife was arrested. I was the non-offending parent.</w:t>
      </w:r>
    </w:p>
    <w:p>
      <w:pPr>
        <w:spacing w:after="200" w:line="360"/>
        <w:jc w:val="left"/>
      </w:pPr>
      <w:r>
        <w:rPr>
          <w:rFonts w:ascii="Times New Roman" w:cs="Times New Roman" w:eastAsia="Times New Roman" w:hAnsi="Times New Roman"/>
          <w:b w:val="false"/>
          <w:bCs w:val="false"/>
          <w:i w:val="false"/>
          <w:iCs w:val="false"/>
          <w:sz w:val="24"/>
          <w:szCs w:val="24"/>
        </w:rPr>
        <w:t xml:space="preserve">My wife was arrested for domestic assault. I was the victim. I remained at home with our children. The Department took no action. No emergency was declared. The children were in my care, safely, from Friday through Monday noon — approximately 72 hours — without any intervention.</w:t>
      </w:r>
    </w:p>
    <w:p>
      <w:pPr>
        <w:spacing w:after="200" w:line="360"/>
        <w:jc w:val="left"/>
      </w:pPr>
      <w:r>
        <w:rPr>
          <w:rFonts w:ascii="Times New Roman" w:cs="Times New Roman" w:eastAsia="Times New Roman" w:hAnsi="Times New Roman"/>
          <w:b w:val="false"/>
          <w:bCs w:val="false"/>
          <w:i w:val="false"/>
          <w:iCs w:val="false"/>
          <w:sz w:val="24"/>
          <w:szCs w:val="24"/>
        </w:rPr>
        <w:t xml:space="preserve">That 72-hour silence is legally dispositive. The Supreme Court has defined an 'emergency' to mean imminent and present danger — not danger that can wait three full days:</w:t>
      </w:r>
    </w:p>
    <w:p>
      <w:pPr>
        <w:spacing w:after="200" w:line="360"/>
        <w:jc w:val="left"/>
      </w:pPr>
      <w:r>
        <w:rPr>
          <w:rFonts w:ascii="Times New Roman" w:cs="Times New Roman" w:eastAsia="Times New Roman" w:hAnsi="Times New Roman"/>
          <w:b w:val="false"/>
          <w:bCs w:val="false"/>
          <w:i w:val="false"/>
          <w:iCs w:val="false"/>
          <w:sz w:val="24"/>
          <w:szCs w:val="24"/>
        </w:rPr>
        <w:t xml:space="preserve">Youngberg v. Romeo, 457 U.S. 307, 321 (1982) — State action depriving a person of liberty must be “rationally related” to a legitimate government objective; arbitrary deprivation violates substantive due process.</w:t>
      </w:r>
    </w:p>
    <w:p>
      <w:pPr>
        <w:spacing w:after="200" w:line="360"/>
        <w:jc w:val="left"/>
      </w:pPr>
      <w:r>
        <w:rPr>
          <w:rFonts w:ascii="Times New Roman" w:cs="Times New Roman" w:eastAsia="Times New Roman" w:hAnsi="Times New Roman"/>
          <w:b w:val="false"/>
          <w:bCs w:val="false"/>
          <w:i w:val="false"/>
          <w:iCs w:val="false"/>
          <w:sz w:val="24"/>
          <w:szCs w:val="24"/>
        </w:rPr>
        <w:t xml:space="preserve">Brokaw v. Mercer County, 235 F.3d 1000, 1010 (7th Cir. 2000) — Emergency removal is constitutionally justified only when “the children were in imminent danger of serious bodily harm” at the moment of removal.</w:t>
      </w:r>
    </w:p>
    <w:p>
      <w:pPr>
        <w:spacing w:after="200" w:line="360"/>
        <w:jc w:val="left"/>
      </w:pPr>
      <w:r>
        <w:rPr>
          <w:rFonts w:ascii="Times New Roman" w:cs="Times New Roman" w:eastAsia="Times New Roman" w:hAnsi="Times New Roman"/>
          <w:b w:val="false"/>
          <w:bCs w:val="false"/>
          <w:i w:val="false"/>
          <w:iCs w:val="false"/>
          <w:sz w:val="24"/>
          <w:szCs w:val="24"/>
        </w:rPr>
        <w:t xml:space="preserve">A danger that did not require action for 72 hours is, by definition, not imminent. The Department's own inaction is a concession this Court may not ignore.</w:t>
      </w:r>
    </w:p>
    <w:p>
      <w:pPr>
        <w:pStyle w:val="Heading2"/>
        <w:spacing w:after="160" w:before="240"/>
      </w:pPr>
      <w:r>
        <w:rPr>
          <w:rFonts w:ascii="Times New Roman" w:cs="Times New Roman" w:eastAsia="Times New Roman" w:hAnsi="Times New Roman"/>
          <w:b/>
          <w:bCs/>
          <w:sz w:val="24"/>
          <w:szCs w:val="24"/>
        </w:rPr>
        <w:t xml:space="preserve">Monday noon: Coerced Urinalysis Under Explicit Threat.</w:t>
      </w:r>
    </w:p>
    <w:p>
      <w:pPr>
        <w:spacing w:after="200" w:line="360"/>
        <w:jc w:val="left"/>
      </w:pPr>
      <w:r>
        <w:rPr>
          <w:rFonts w:ascii="Times New Roman" w:cs="Times New Roman" w:eastAsia="Times New Roman" w:hAnsi="Times New Roman"/>
          <w:b w:val="false"/>
          <w:bCs w:val="false"/>
          <w:i w:val="false"/>
          <w:iCs w:val="false"/>
          <w:sz w:val="24"/>
          <w:szCs w:val="24"/>
        </w:rPr>
        <w:t xml:space="preserve">DHS and a police officer arrived at my home. I was told directly: submit to a urinalysis immediately, or they would file to remove my children. I did not consent freely. I complied under an explicit coercive threat. The Supreme Court has directly addressed coerced compliance:</w:t>
      </w:r>
    </w:p>
    <w:p>
      <w:pPr>
        <w:spacing w:after="200" w:line="360"/>
        <w:jc w:val="left"/>
      </w:pPr>
      <w:r>
        <w:rPr>
          <w:rFonts w:ascii="Times New Roman" w:cs="Times New Roman" w:eastAsia="Times New Roman" w:hAnsi="Times New Roman"/>
          <w:b w:val="false"/>
          <w:bCs w:val="false"/>
          <w:i w:val="false"/>
          <w:iCs w:val="false"/>
          <w:sz w:val="24"/>
          <w:szCs w:val="24"/>
        </w:rPr>
        <w:t xml:space="preserve">Lynumn v. Illinois, 372 U.S. 528, 534 (1963) — Compliance obtained by threatening to deprive a person of their children is not voluntary consent and is constitutionally invalid.</w:t>
      </w:r>
    </w:p>
    <w:p>
      <w:pPr>
        <w:spacing w:after="200" w:line="360"/>
        <w:jc w:val="left"/>
      </w:pPr>
      <w:r>
        <w:rPr>
          <w:rFonts w:ascii="Times New Roman" w:cs="Times New Roman" w:eastAsia="Times New Roman" w:hAnsi="Times New Roman"/>
          <w:b w:val="false"/>
          <w:bCs w:val="false"/>
          <w:i w:val="false"/>
          <w:iCs w:val="false"/>
          <w:sz w:val="24"/>
          <w:szCs w:val="24"/>
        </w:rPr>
        <w:t xml:space="preserve">Bumper v. North Carolina, 391 U.S. 543, 550 (1968) — “When a law enforcement officer claims authority to search ... [the person] has been coerced even though he [consented].”</w:t>
      </w:r>
    </w:p>
    <w:p>
      <w:pPr>
        <w:spacing w:after="200" w:line="360"/>
        <w:jc w:val="left"/>
      </w:pPr>
      <w:r>
        <w:rPr>
          <w:rFonts w:ascii="Times New Roman" w:cs="Times New Roman" w:eastAsia="Times New Roman" w:hAnsi="Times New Roman"/>
          <w:b w:val="false"/>
          <w:bCs w:val="false"/>
          <w:i w:val="false"/>
          <w:iCs w:val="false"/>
          <w:sz w:val="24"/>
          <w:szCs w:val="24"/>
        </w:rPr>
        <w:t xml:space="preserve">I immediately observed visible contamination in the container. I objected on the spot. The officer present acknowledged what I pointed to. Because I disputed the integrity of the sample, I did not sign certifying it. I never accepted that test as valid. The officer's body-worn camera was recording and captures my immediate objection, the officer's acknowledgment, and everything that followed.</w:t>
      </w:r>
    </w:p>
    <w:p>
      <w:pPr>
        <w:pStyle w:val="Heading2"/>
        <w:spacing w:after="160" w:before="240"/>
      </w:pPr>
      <w:r>
        <w:rPr>
          <w:rFonts w:ascii="Times New Roman" w:cs="Times New Roman" w:eastAsia="Times New Roman" w:hAnsi="Times New Roman"/>
          <w:b/>
          <w:bCs/>
          <w:sz w:val="24"/>
          <w:szCs w:val="24"/>
        </w:rPr>
        <w:t xml:space="preserve">The Department Verified the DNCO — and Represented the Children Would Remain Home.</w:t>
      </w:r>
    </w:p>
    <w:p>
      <w:pPr>
        <w:spacing w:after="200" w:line="360"/>
        <w:jc w:val="left"/>
      </w:pPr>
      <w:r>
        <w:rPr>
          <w:rFonts w:ascii="Times New Roman" w:cs="Times New Roman" w:eastAsia="Times New Roman" w:hAnsi="Times New Roman"/>
          <w:b w:val="false"/>
          <w:bCs w:val="false"/>
          <w:i w:val="false"/>
          <w:iCs w:val="false"/>
          <w:sz w:val="24"/>
          <w:szCs w:val="24"/>
        </w:rPr>
        <w:t xml:space="preserve">After the urinalysis, the Department dispatched an officer to verify whether the Domestic No Contact Order prevented my wife from being with the children if I voluntarily left. The officer returned and confirmed: the DNCO did not cover the children. My wife could be with them. I was told to leave when she arrived, and that the children would remain home.</w:t>
      </w:r>
    </w:p>
    <w:p>
      <w:pPr>
        <w:spacing w:after="200" w:line="360"/>
        <w:jc w:val="left"/>
      </w:pPr>
      <w:r>
        <w:rPr>
          <w:rFonts w:ascii="Times New Roman" w:cs="Times New Roman" w:eastAsia="Times New Roman" w:hAnsi="Times New Roman"/>
          <w:b w:val="false"/>
          <w:bCs w:val="false"/>
          <w:i w:val="false"/>
          <w:iCs w:val="false"/>
          <w:sz w:val="24"/>
          <w:szCs w:val="24"/>
        </w:rPr>
        <w:t xml:space="preserve">This verification is the single most telling fact in the record. A government actor's own conduct — taken before any dispute existed about what would happen next — is the most reliable evidence of what the actor actually intended. The Supreme Court has long treated the sequence and timing of a government actor's decisions as direct evidence of the actor's true purpose, particularly where a later, contrary justification surfaces only after intervening conduct:</w:t>
      </w:r>
    </w:p>
    <w:p>
      <w:pPr>
        <w:spacing w:after="200" w:line="360"/>
        <w:jc w:val="left"/>
      </w:pPr>
      <w:r>
        <w:rPr>
          <w:rFonts w:ascii="Times New Roman" w:cs="Times New Roman" w:eastAsia="Times New Roman" w:hAnsi="Times New Roman"/>
          <w:b w:val="false"/>
          <w:bCs w:val="false"/>
          <w:i w:val="false"/>
          <w:iCs w:val="false"/>
          <w:sz w:val="24"/>
          <w:szCs w:val="24"/>
        </w:rPr>
        <w:t xml:space="preserve">Village of Arlington Heights v. Metropolitan Housing Development Corp., 429 U.S. 252, 266–268 (1977) — Courts assessing a government actor's true purpose must examine “the specific sequence of events leading up to the challenged decision,” including “departures from the normal procedural sequence,” as evidence of the decision's actual basis.</w:t>
      </w:r>
    </w:p>
    <w:p>
      <w:pPr>
        <w:spacing w:after="200" w:line="360"/>
        <w:jc w:val="left"/>
      </w:pPr>
      <w:r>
        <w:rPr>
          <w:rFonts w:ascii="Times New Roman" w:cs="Times New Roman" w:eastAsia="Times New Roman" w:hAnsi="Times New Roman"/>
          <w:b w:val="false"/>
          <w:bCs w:val="false"/>
          <w:i w:val="false"/>
          <w:iCs w:val="false"/>
          <w:sz w:val="24"/>
          <w:szCs w:val="24"/>
        </w:rPr>
        <w:t xml:space="preserve">Mt. Healthy City School Dist. Bd. of Educ. v. Doyle, 429 U.S. 274, 287 (1977) — Once the record shows that a constitutionally questionable motive substantially factored into a government decision, the burden shifts to the government to prove it would have made the same decision regardless of that motive.</w:t>
      </w:r>
    </w:p>
    <w:p>
      <w:pPr>
        <w:spacing w:after="200" w:line="360"/>
        <w:jc w:val="left"/>
      </w:pPr>
      <w:r>
        <w:rPr>
          <w:rFonts w:ascii="Times New Roman" w:cs="Times New Roman" w:eastAsia="Times New Roman" w:hAnsi="Times New Roman"/>
          <w:b w:val="false"/>
          <w:bCs w:val="false"/>
          <w:i w:val="false"/>
          <w:iCs w:val="false"/>
          <w:sz w:val="24"/>
          <w:szCs w:val="24"/>
        </w:rPr>
        <w:t xml:space="preserve">There is no other reason to investigate the DNCO scope. If removal was already decided, that legal question was irrelevant. The Department verified because the representation was intentional.</w:t>
      </w:r>
    </w:p>
    <w:p>
      <w:pPr>
        <w:pStyle w:val="Heading2"/>
        <w:spacing w:after="160" w:before="240"/>
      </w:pPr>
      <w:r>
        <w:rPr>
          <w:rFonts w:ascii="Times New Roman" w:cs="Times New Roman" w:eastAsia="Times New Roman" w:hAnsi="Times New Roman"/>
          <w:b/>
          <w:bCs/>
          <w:sz w:val="24"/>
          <w:szCs w:val="24"/>
        </w:rPr>
        <w:t xml:space="preserve">I Left at the Department's Direction — Based on a Verified Representation.</w:t>
      </w:r>
    </w:p>
    <w:p>
      <w:pPr>
        <w:spacing w:after="200" w:line="360"/>
        <w:jc w:val="left"/>
      </w:pPr>
      <w:r>
        <w:rPr>
          <w:rFonts w:ascii="Times New Roman" w:cs="Times New Roman" w:eastAsia="Times New Roman" w:hAnsi="Times New Roman"/>
          <w:b w:val="false"/>
          <w:bCs w:val="false"/>
          <w:i w:val="false"/>
          <w:iCs w:val="false"/>
          <w:sz w:val="24"/>
          <w:szCs w:val="24"/>
        </w:rPr>
        <w:t xml:space="preserve">I did not abandon my children. I left my children at home with their mother, based on an explicit, verified representation by the Department that this arrangement was lawful. I was never told a hold was being filed. I found out about the removal, the petition, and the hearings after the fact — without notice.</w:t>
      </w:r>
    </w:p>
    <w:p>
      <w:pPr>
        <w:pStyle w:val="Heading2"/>
        <w:spacing w:after="160" w:before="240"/>
      </w:pPr>
      <w:r>
        <w:rPr>
          <w:rFonts w:ascii="Times New Roman" w:cs="Times New Roman" w:eastAsia="Times New Roman" w:hAnsi="Times New Roman"/>
          <w:b/>
          <w:bCs/>
          <w:sz w:val="24"/>
          <w:szCs w:val="24"/>
        </w:rPr>
        <w:t xml:space="preserve">After I Left: The Department Filed an Emergency Hold Citing the UA as Imminent Danger.</w:t>
      </w:r>
    </w:p>
    <w:p>
      <w:pPr>
        <w:spacing w:after="200" w:line="360"/>
        <w:jc w:val="left"/>
      </w:pPr>
      <w:r>
        <w:rPr>
          <w:rFonts w:ascii="Times New Roman" w:cs="Times New Roman" w:eastAsia="Times New Roman" w:hAnsi="Times New Roman"/>
          <w:b w:val="false"/>
          <w:bCs w:val="false"/>
          <w:i w:val="false"/>
          <w:iCs w:val="false"/>
          <w:sz w:val="24"/>
          <w:szCs w:val="24"/>
        </w:rPr>
        <w:t xml:space="preserve">With me gone, and my children in the home with their mother and no restrictions in place, the Department filed a 72-hour emergency hold. They cited the contested urinalysis as the basis for imminent danger — directed at a person they had just instructed to leave. The filing was made without telling me. Without serving me. Without prior judicial authorization.</w:t>
      </w:r>
    </w:p>
    <w:p>
      <w:pPr>
        <w:pStyle w:val="Heading2"/>
        <w:spacing w:after="160" w:before="240"/>
      </w:pPr>
      <w:r>
        <w:rPr>
          <w:rFonts w:ascii="Times New Roman" w:cs="Times New Roman" w:eastAsia="Times New Roman" w:hAnsi="Times New Roman"/>
          <w:b/>
          <w:bCs/>
          <w:sz w:val="24"/>
          <w:szCs w:val="24"/>
        </w:rPr>
        <w:t xml:space="preserve">The 72-Hour Hearing Occurred Without Me.</w:t>
      </w:r>
    </w:p>
    <w:p>
      <w:pPr>
        <w:spacing w:after="200" w:line="360"/>
        <w:jc w:val="left"/>
      </w:pPr>
      <w:r>
        <w:rPr>
          <w:rFonts w:ascii="Times New Roman" w:cs="Times New Roman" w:eastAsia="Times New Roman" w:hAnsi="Times New Roman"/>
          <w:b w:val="false"/>
          <w:bCs w:val="false"/>
          <w:i w:val="false"/>
          <w:iCs w:val="false"/>
          <w:sz w:val="24"/>
          <w:szCs w:val="24"/>
        </w:rPr>
        <w:t xml:space="preserve">The proceeding specifically designed to test whether emergency removal is justified occurred without me. I was not served. I was not notified. I had no fixed address because the Department's own instructions had removed me from my home. The Court declined at that hearing to impose the additional constraints the Department requested.</w:t>
      </w:r>
    </w:p>
    <w:p>
      <w:pPr>
        <w:spacing w:after="200" w:line="360"/>
        <w:jc w:val="left"/>
      </w:pPr>
      <w:r>
        <w:rPr>
          <w:rFonts w:ascii="Times New Roman" w:cs="Times New Roman" w:eastAsia="Times New Roman" w:hAnsi="Times New Roman"/>
          <w:b w:val="false"/>
          <w:bCs w:val="false"/>
          <w:i w:val="false"/>
          <w:iCs w:val="false"/>
          <w:sz w:val="24"/>
          <w:szCs w:val="24"/>
        </w:rPr>
        <w:t xml:space="preserve">I have still not been properly served. I appeared today because I was told I have a court date. I do not yet have the papers.</w:t>
      </w:r>
    </w:p>
    <w:p>
      <w:pPr>
        <w:pStyle w:val="Heading1"/>
        <w:spacing w:after="200" w:before="300"/>
      </w:pPr>
      <w:r>
        <w:rPr>
          <w:rFonts w:ascii="Times New Roman" w:cs="Times New Roman" w:eastAsia="Times New Roman" w:hAnsi="Times New Roman"/>
          <w:b/>
          <w:bCs/>
          <w:sz w:val="26"/>
          <w:szCs w:val="26"/>
        </w:rPr>
        <w:t xml:space="preserve">II. THE CONSTITUTIONAL VIOLATION: THE DEPARTMENT MANUFACTURED THE EMERGENCY</w:t>
      </w:r>
    </w:p>
    <w:p>
      <w:pPr>
        <w:pStyle w:val="Heading2"/>
        <w:spacing w:after="160" w:before="240"/>
      </w:pPr>
      <w:r>
        <w:rPr>
          <w:rFonts w:ascii="Times New Roman" w:cs="Times New Roman" w:eastAsia="Times New Roman" w:hAnsi="Times New Roman"/>
          <w:b/>
          <w:bCs/>
          <w:sz w:val="24"/>
          <w:szCs w:val="24"/>
        </w:rPr>
        <w:t xml:space="preserve">A. The Governing Standard</w:t>
      </w:r>
    </w:p>
    <w:p>
      <w:pPr>
        <w:spacing w:after="200" w:line="360"/>
        <w:jc w:val="left"/>
      </w:pPr>
      <w:r>
        <w:rPr>
          <w:rFonts w:ascii="Times New Roman" w:cs="Times New Roman" w:eastAsia="Times New Roman" w:hAnsi="Times New Roman"/>
          <w:b w:val="false"/>
          <w:bCs w:val="false"/>
          <w:i w:val="false"/>
          <w:iCs w:val="false"/>
          <w:sz w:val="24"/>
          <w:szCs w:val="24"/>
        </w:rPr>
        <w:t xml:space="preserve">Emergency removal of a child requires imminent danger — danger that exists at the moment of the action, serious enough that waiting for a judicial hearing would place the child at immediate risk of harm. This is a constitutional floor, not a procedural preference. Any ruling that fails to apply this floor requires this Court to overtly contradict the following binding authorities:</w:t>
      </w:r>
    </w:p>
    <w:p>
      <w:pPr>
        <w:spacing w:after="200" w:line="360"/>
        <w:jc w:val="left"/>
      </w:pPr>
      <w:r>
        <w:rPr>
          <w:rFonts w:ascii="Times New Roman" w:cs="Times New Roman" w:eastAsia="Times New Roman" w:hAnsi="Times New Roman"/>
          <w:b w:val="false"/>
          <w:bCs w:val="false"/>
          <w:i w:val="false"/>
          <w:iCs w:val="false"/>
          <w:sz w:val="24"/>
          <w:szCs w:val="24"/>
        </w:rPr>
        <w:t xml:space="preserve">Mathews v. Eldridge, 424 U.S. 319, 335 (1976) — Courts must balance: (1) the private interest at stake; (2) the risk of erroneous deprivation; and (3) the government's interest. Here, the private interest — parental custody — is at the apex of constitutional protection. The risk of erroneous deprivation is proven by the sequence of the Department's own conduct. The government's interest is zero where no genuine emergency existed.</w:t>
      </w:r>
    </w:p>
    <w:p>
      <w:pPr>
        <w:spacing w:after="200" w:line="360"/>
        <w:jc w:val="left"/>
      </w:pPr>
      <w:r>
        <w:rPr>
          <w:rFonts w:ascii="Times New Roman" w:cs="Times New Roman" w:eastAsia="Times New Roman" w:hAnsi="Times New Roman"/>
          <w:b w:val="false"/>
          <w:bCs w:val="false"/>
          <w:i w:val="false"/>
          <w:iCs w:val="false"/>
          <w:sz w:val="24"/>
          <w:szCs w:val="24"/>
        </w:rPr>
        <w:t xml:space="preserve">Reno v. Flores, 507 U.S. 292, 302 (1993) — Substantive due process forbids the government from “depriving a person of life, liberty, or property” through action that “shocks the conscience” or is “arbitrary” — regardless of what procedures follow.</w:t>
      </w:r>
    </w:p>
    <w:p>
      <w:pPr>
        <w:spacing w:after="200" w:line="360"/>
        <w:jc w:val="left"/>
      </w:pPr>
      <w:r>
        <w:rPr>
          <w:rFonts w:ascii="Times New Roman" w:cs="Times New Roman" w:eastAsia="Times New Roman" w:hAnsi="Times New Roman"/>
          <w:b w:val="false"/>
          <w:bCs w:val="false"/>
          <w:i w:val="false"/>
          <w:iCs w:val="false"/>
          <w:sz w:val="24"/>
          <w:szCs w:val="24"/>
        </w:rPr>
        <w:t xml:space="preserve">County of Sacramento v. Lewis, 523 U.S. 833, 846 (1998) — “[T]he due process guarantee does not entail a body of constitutional law imposing liability whenever someone cloaked with state authority causes harm.” But “conduct intended to injure in some way unjustifiable by any government interest” most clearly satisfies the shocks-the-conscience standard.</w:t>
      </w:r>
    </w:p>
    <w:p>
      <w:pPr>
        <w:pStyle w:val="Heading2"/>
        <w:spacing w:after="160" w:before="240"/>
      </w:pPr>
      <w:r>
        <w:rPr>
          <w:rFonts w:ascii="Times New Roman" w:cs="Times New Roman" w:eastAsia="Times New Roman" w:hAnsi="Times New Roman"/>
          <w:b/>
          <w:bCs/>
          <w:sz w:val="24"/>
          <w:szCs w:val="24"/>
        </w:rPr>
        <w:t xml:space="preserve">B. The Department's Own Conduct Disproves the Emergency</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Department's stated basis for the emergency hold was the contested urinalysis — evidence that I was a danger to my children. That argument requires this Court to accept that a test which was: (1) obtained under coercive threat, (2) immediately disputed with visible contamination, (3) never signed or certified by me, and (4) attributed to a person who had already left the home at the Department's direction — constituted imminent danger. It does not. And the Supreme Court has addressed each element:</w:t>
      </w:r>
    </w:p>
    <w:p>
      <w:pPr>
        <w:spacing w:after="200" w:line="360"/>
        <w:jc w:val="left"/>
      </w:pPr>
      <w:r>
        <w:rPr>
          <w:rFonts w:ascii="Times New Roman" w:cs="Times New Roman" w:eastAsia="Times New Roman" w:hAnsi="Times New Roman"/>
          <w:b w:val="false"/>
          <w:bCs w:val="false"/>
          <w:i w:val="false"/>
          <w:iCs w:val="false"/>
          <w:sz w:val="24"/>
          <w:szCs w:val="24"/>
        </w:rPr>
        <w:t xml:space="preserve">Illinois v. Rodriguez, 497 U.S. 177, 188–89 (1990) — Evidence obtained through consent must be truly voluntary; consent obtained under color of authority or coercive circumstances is constitutionally suspect.</w:t>
      </w:r>
    </w:p>
    <w:p>
      <w:pPr>
        <w:spacing w:after="200" w:line="360"/>
        <w:jc w:val="left"/>
      </w:pPr>
      <w:r>
        <w:rPr>
          <w:rFonts w:ascii="Times New Roman" w:cs="Times New Roman" w:eastAsia="Times New Roman" w:hAnsi="Times New Roman"/>
          <w:b w:val="false"/>
          <w:bCs w:val="false"/>
          <w:i w:val="false"/>
          <w:iCs w:val="false"/>
          <w:sz w:val="24"/>
          <w:szCs w:val="24"/>
        </w:rPr>
        <w:t xml:space="preserve">Franks v. Delaware, 438 U.S. 154, 156 (1978) — A warrant — or here, an emergency hold — resting on deliberately false or recklessly misleading information must be voided. Where a contested and unverified test forms the sole basis for emergency action, the factual predicate is insufficient.</w:t>
      </w:r>
    </w:p>
    <w:p>
      <w:pPr>
        <w:spacing w:after="200" w:line="360"/>
        <w:jc w:val="left"/>
      </w:pPr>
      <w:r>
        <w:rPr>
          <w:rFonts w:ascii="Times New Roman" w:cs="Times New Roman" w:eastAsia="Times New Roman" w:hAnsi="Times New Roman"/>
          <w:b w:val="false"/>
          <w:bCs w:val="false"/>
          <w:i w:val="false"/>
          <w:iCs w:val="false"/>
          <w:sz w:val="24"/>
          <w:szCs w:val="24"/>
        </w:rPr>
        <w:t xml:space="preserve">The UA was about me. I was gone. The Department knew I was gone because they told me to leave. At the moment the hold was filed, I was not in the home. There was no emergency. The Department filed one anyway.</w:t>
      </w:r>
    </w:p>
    <w:p>
      <w:pPr>
        <w:pStyle w:val="Heading2"/>
        <w:spacing w:after="160" w:before="240"/>
      </w:pPr>
      <w:r>
        <w:rPr>
          <w:rFonts w:ascii="Times New Roman" w:cs="Times New Roman" w:eastAsia="Times New Roman" w:hAnsi="Times New Roman"/>
          <w:b/>
          <w:bCs/>
          <w:sz w:val="24"/>
          <w:szCs w:val="24"/>
        </w:rPr>
        <w:t xml:space="preserve">C. The Three-Day Silence Confirms There Was No Emergency</w:t>
      </w:r>
    </w:p>
    <w:p>
      <w:pPr>
        <w:spacing w:after="200" w:line="360"/>
        <w:jc w:val="left"/>
      </w:pPr>
      <w:r>
        <w:rPr>
          <w:rFonts w:ascii="Times New Roman" w:cs="Times New Roman" w:eastAsia="Times New Roman" w:hAnsi="Times New Roman"/>
          <w:b w:val="false"/>
          <w:bCs w:val="false"/>
          <w:i w:val="false"/>
          <w:iCs w:val="false"/>
          <w:sz w:val="24"/>
          <w:szCs w:val="24"/>
        </w:rPr>
        <w:t xml:space="preserve">From Friday through Monday noon — approximately 72 hours — I was alone with my children and the Department took no action. The Supreme Court has repeatedly required that emergency action be proportionate to genuine, present danger:</w:t>
      </w:r>
    </w:p>
    <w:p>
      <w:pPr>
        <w:spacing w:after="200" w:line="360"/>
        <w:jc w:val="left"/>
      </w:pPr>
      <w:r>
        <w:rPr>
          <w:rFonts w:ascii="Times New Roman" w:cs="Times New Roman" w:eastAsia="Times New Roman" w:hAnsi="Times New Roman"/>
          <w:b w:val="false"/>
          <w:bCs w:val="false"/>
          <w:i w:val="false"/>
          <w:iCs w:val="false"/>
          <w:sz w:val="24"/>
          <w:szCs w:val="24"/>
        </w:rPr>
        <w:t xml:space="preserve">Zadvydas v. Davis, 533 U.S. 678, 690 (2001) — Government liberty deprivations must be reasonably related in scope and duration to the purpose they serve; action exceeding that nexus violates due process.</w:t>
      </w:r>
    </w:p>
    <w:p>
      <w:pPr>
        <w:spacing w:after="200" w:line="360"/>
        <w:jc w:val="left"/>
      </w:pPr>
      <w:r>
        <w:rPr>
          <w:rFonts w:ascii="Times New Roman" w:cs="Times New Roman" w:eastAsia="Times New Roman" w:hAnsi="Times New Roman"/>
          <w:b w:val="false"/>
          <w:bCs w:val="false"/>
          <w:i w:val="false"/>
          <w:iCs w:val="false"/>
          <w:sz w:val="24"/>
          <w:szCs w:val="24"/>
        </w:rPr>
        <w:t xml:space="preserve">United States v. Salerno, 481 U.S. 739, 748 (1987) — Even where a compelling government interest exists, the deprivation “must be narrowly focused” — a three-day delay before action is irreconcilable with a claim of imminent danger.</w:t>
      </w:r>
    </w:p>
    <w:p>
      <w:pPr>
        <w:spacing w:after="200" w:line="360"/>
        <w:jc w:val="left"/>
      </w:pPr>
      <w:r>
        <w:rPr>
          <w:rFonts w:ascii="Times New Roman" w:cs="Times New Roman" w:eastAsia="Times New Roman" w:hAnsi="Times New Roman"/>
          <w:b w:val="false"/>
          <w:bCs w:val="false"/>
          <w:i w:val="false"/>
          <w:iCs w:val="false"/>
          <w:sz w:val="24"/>
          <w:szCs w:val="24"/>
        </w:rPr>
        <w:t xml:space="preserve">The emergency only appeared on paper after I walked out the door at the Department's direction — because the Department needed a legal basis for a removal it had already decided to make.</w:t>
      </w:r>
    </w:p>
    <w:p>
      <w:pPr>
        <w:pStyle w:val="Heading2"/>
        <w:spacing w:after="160" w:before="240"/>
      </w:pPr>
      <w:r>
        <w:rPr>
          <w:rFonts w:ascii="Times New Roman" w:cs="Times New Roman" w:eastAsia="Times New Roman" w:hAnsi="Times New Roman"/>
          <w:b/>
          <w:bCs/>
          <w:sz w:val="24"/>
          <w:szCs w:val="24"/>
        </w:rPr>
        <w:t xml:space="preserve">D. The Verification of the DNCO Is Direct Evidence of Pretext</w:t>
      </w:r>
    </w:p>
    <w:p>
      <w:pPr>
        <w:spacing w:after="200" w:line="360"/>
        <w:jc w:val="left"/>
      </w:pPr>
      <w:r>
        <w:rPr>
          <w:rFonts w:ascii="Times New Roman" w:cs="Times New Roman" w:eastAsia="Times New Roman" w:hAnsi="Times New Roman"/>
          <w:b w:val="false"/>
          <w:bCs w:val="false"/>
          <w:i w:val="false"/>
          <w:iCs w:val="false"/>
          <w:sz w:val="24"/>
          <w:szCs w:val="24"/>
        </w:rPr>
        <w:t xml:space="preserve">An officer was dispatched to confirm a specific legal question: whether the DNCO covered the children, such that my wife could be with them if I left. That verification only makes sense if my children remaining home was the actual plan. If removal had already been decided, the DNCO question was irrelevant. The Department investigated because they represented to me — and to the officer — that my children would stay home.</w:t>
      </w:r>
    </w:p>
    <w:p>
      <w:pPr>
        <w:spacing w:after="200" w:line="360"/>
        <w:jc w:val="left"/>
      </w:pPr>
      <w:r>
        <w:rPr>
          <w:rFonts w:ascii="Times New Roman" w:cs="Times New Roman" w:eastAsia="Times New Roman" w:hAnsi="Times New Roman"/>
          <w:b w:val="false"/>
          <w:bCs w:val="false"/>
          <w:i w:val="false"/>
          <w:iCs w:val="false"/>
          <w:sz w:val="24"/>
          <w:szCs w:val="24"/>
        </w:rPr>
        <w:t xml:space="preserve">Village of Arlington Heights v. Metropolitan Housing Development Corp., 429 U.S. 252, 267 (1977) — A clear pattern of conduct that departs from what the stated justification would predict is itself probative evidence that the stated justification is not the true one.</w:t>
      </w:r>
    </w:p>
    <w:p>
      <w:pPr>
        <w:spacing w:after="200" w:line="360"/>
        <w:jc w:val="left"/>
      </w:pPr>
      <w:r>
        <w:rPr>
          <w:rFonts w:ascii="Times New Roman" w:cs="Times New Roman" w:eastAsia="Times New Roman" w:hAnsi="Times New Roman"/>
          <w:b w:val="false"/>
          <w:bCs w:val="false"/>
          <w:i w:val="false"/>
          <w:iCs w:val="false"/>
          <w:sz w:val="24"/>
          <w:szCs w:val="24"/>
        </w:rPr>
        <w:t xml:space="preserve">Zinermon v. Burch, 494 U.S. 113, 125–36 (1990) — A state may not structure its own procedures so that the very conduct of its officials forecloses the process otherwise constitutionally required; where the deprivation flows predictably from the state's own actions, the state cannot disclaim responsibility for the resulting denial of process.</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then filed a hold the moment I was gone. The representation was false from the moment it was made. The sequence is the proof.</w:t>
      </w:r>
    </w:p>
    <w:p>
      <w:pPr>
        <w:pStyle w:val="Heading1"/>
        <w:spacing w:after="200" w:before="300"/>
      </w:pPr>
      <w:r>
        <w:rPr>
          <w:rFonts w:ascii="Times New Roman" w:cs="Times New Roman" w:eastAsia="Times New Roman" w:hAnsi="Times New Roman"/>
          <w:b/>
          <w:bCs/>
          <w:sz w:val="26"/>
          <w:szCs w:val="26"/>
        </w:rPr>
        <w:t xml:space="preserve">III. THE NOTICE AND ACCESS VIOLATIONS — EACH INDEPENDENTLY FATAL</w:t>
      </w:r>
    </w:p>
    <w:p>
      <w:pPr>
        <w:pStyle w:val="Heading2"/>
        <w:spacing w:after="160" w:before="240"/>
      </w:pPr>
      <w:r>
        <w:rPr>
          <w:rFonts w:ascii="Times New Roman" w:cs="Times New Roman" w:eastAsia="Times New Roman" w:hAnsi="Times New Roman"/>
          <w:b/>
          <w:bCs/>
          <w:sz w:val="24"/>
          <w:szCs w:val="24"/>
        </w:rPr>
        <w:t xml:space="preserve">A. No Notice Before Action</w:t>
      </w:r>
    </w:p>
    <w:p>
      <w:pPr>
        <w:spacing w:after="200" w:line="360"/>
        <w:jc w:val="left"/>
      </w:pPr>
      <w:r>
        <w:rPr>
          <w:rFonts w:ascii="Times New Roman" w:cs="Times New Roman" w:eastAsia="Times New Roman" w:hAnsi="Times New Roman"/>
          <w:b w:val="false"/>
          <w:bCs w:val="false"/>
          <w:i w:val="false"/>
          <w:iCs w:val="false"/>
          <w:sz w:val="24"/>
          <w:szCs w:val="24"/>
        </w:rPr>
        <w:t xml:space="preserve">The Constitution requires notice reasonably calculated to inform a parent that a proceeding affecting their fundamental rights is pending. I was not served with the petition, the affidavits, or any supporting document before the Department sought or obtained emergency custody of my children. I was not notified that a 72-hour hearing was scheduled. To deny this motion without addressing the following authorities, this Court would have to hold that they do not apply:</w:t>
      </w:r>
    </w:p>
    <w:p>
      <w:pPr>
        <w:spacing w:after="200" w:line="360"/>
        <w:jc w:val="left"/>
      </w:pPr>
      <w:r>
        <w:rPr>
          <w:rFonts w:ascii="Times New Roman" w:cs="Times New Roman" w:eastAsia="Times New Roman" w:hAnsi="Times New Roman"/>
          <w:b w:val="false"/>
          <w:bCs w:val="false"/>
          <w:i w:val="false"/>
          <w:iCs w:val="false"/>
          <w:sz w:val="24"/>
          <w:szCs w:val="24"/>
        </w:rPr>
        <w:t xml:space="preserve">Mullane v. Central Hanover Bank &amp; Trust Co., 339 U.S. 306, 314 (1950) — “An elementary and fundamental requirement of due process in any proceeding which is to be accorded finality is notice reasonably calculated, under all the circumstances, to apprise interested parties of the pendency of the action and afford them an opportunity to present their objections.”</w:t>
      </w:r>
    </w:p>
    <w:p>
      <w:pPr>
        <w:spacing w:after="200" w:line="360"/>
        <w:jc w:val="left"/>
      </w:pPr>
      <w:r>
        <w:rPr>
          <w:rFonts w:ascii="Times New Roman" w:cs="Times New Roman" w:eastAsia="Times New Roman" w:hAnsi="Times New Roman"/>
          <w:b w:val="false"/>
          <w:bCs w:val="false"/>
          <w:i w:val="false"/>
          <w:iCs w:val="false"/>
          <w:sz w:val="24"/>
          <w:szCs w:val="24"/>
        </w:rPr>
        <w:t xml:space="preserve">Memphis Light, Gas &amp; Water Div. v. Craft, 436 U.S. 1, 14 (1978) — Notice must be provided “at a meaningful time and in a meaningful manner”; notice provided after-the-fact satisfies neither requirement.</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knew I had been removed from my home by their own instruction. They knew I had no fixed address as a result of conditions they created. They made no meaningful effort to serve me before the hearing that extended the removal of my children. The Department's own conduct caused the very condition it then used to proceed without me.</w:t>
      </w:r>
    </w:p>
    <w:p>
      <w:pPr>
        <w:pStyle w:val="Heading2"/>
        <w:spacing w:after="160" w:before="240"/>
      </w:pPr>
      <w:r>
        <w:rPr>
          <w:rFonts w:ascii="Times New Roman" w:cs="Times New Roman" w:eastAsia="Times New Roman" w:hAnsi="Times New Roman"/>
          <w:b/>
          <w:bCs/>
          <w:sz w:val="24"/>
          <w:szCs w:val="24"/>
        </w:rPr>
        <w:t xml:space="preserve">B. No Opportunity to Be Heard</w:t>
      </w:r>
    </w:p>
    <w:p>
      <w:pPr>
        <w:spacing w:after="200" w:line="360"/>
        <w:jc w:val="left"/>
      </w:pPr>
      <w:r>
        <w:rPr>
          <w:rFonts w:ascii="Times New Roman" w:cs="Times New Roman" w:eastAsia="Times New Roman" w:hAnsi="Times New Roman"/>
          <w:b w:val="false"/>
          <w:bCs w:val="false"/>
          <w:i w:val="false"/>
          <w:iCs w:val="false"/>
          <w:sz w:val="24"/>
          <w:szCs w:val="24"/>
        </w:rPr>
        <w:t xml:space="preserve">The 72-hour hearing took place without me. I had no counsel, no notice, and no opportunity to present my version of the facts. A hearing I cannot attend because I was never told it was happening is not a hearing. It is a proceeding conducted against me in secret. The following SCOTUS holdings require the opposite:</w:t>
      </w:r>
    </w:p>
    <w:p>
      <w:pPr>
        <w:spacing w:after="200" w:line="360"/>
        <w:jc w:val="left"/>
      </w:pPr>
      <w:r>
        <w:rPr>
          <w:rFonts w:ascii="Times New Roman" w:cs="Times New Roman" w:eastAsia="Times New Roman" w:hAnsi="Times New Roman"/>
          <w:b w:val="false"/>
          <w:bCs w:val="false"/>
          <w:i w:val="false"/>
          <w:iCs w:val="false"/>
          <w:sz w:val="24"/>
          <w:szCs w:val="24"/>
        </w:rPr>
        <w:t xml:space="preserve">Mathews v. Eldridge, 424 U.S. 319, 333 (1976) — “The fundamental requirement of due process is the opportunity to be heard at a meaningful time and in a meaningful manner.”</w:t>
      </w:r>
    </w:p>
    <w:p>
      <w:pPr>
        <w:spacing w:after="200" w:line="360"/>
        <w:jc w:val="left"/>
      </w:pPr>
      <w:r>
        <w:rPr>
          <w:rFonts w:ascii="Times New Roman" w:cs="Times New Roman" w:eastAsia="Times New Roman" w:hAnsi="Times New Roman"/>
          <w:b w:val="false"/>
          <w:bCs w:val="false"/>
          <w:i w:val="false"/>
          <w:iCs w:val="false"/>
          <w:sz w:val="24"/>
          <w:szCs w:val="24"/>
        </w:rPr>
        <w:t xml:space="preserve">Armstrong v. Manzo, 380 U.S. 545, 552 (1965) — “A fundamental requirement of due process is the opportunity to be heard. It is an opportunity which must be granted at a meaningful time and in a meaningful manner.”</w:t>
      </w:r>
    </w:p>
    <w:p>
      <w:pPr>
        <w:spacing w:after="200" w:line="360"/>
        <w:jc w:val="left"/>
      </w:pPr>
      <w:r>
        <w:rPr>
          <w:rFonts w:ascii="Times New Roman" w:cs="Times New Roman" w:eastAsia="Times New Roman" w:hAnsi="Times New Roman"/>
          <w:b w:val="false"/>
          <w:bCs w:val="false"/>
          <w:i w:val="false"/>
          <w:iCs w:val="false"/>
          <w:sz w:val="24"/>
          <w:szCs w:val="24"/>
        </w:rPr>
        <w:t xml:space="preserve">Boddie v. Connecticut, 401 U.S. 371, 378 (1971) — Due process prohibits a state from adjudicating matters affecting fundamental interests without affording a meaningful opportunity to be heard, particularly in proceedings concerning family relationships.</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then sought expanded restrictions on a parent who was absent because of conditions they had created — at a hearing they knew that parent could not attend. Requesting additional constraints under those circumstances is not an oversight. It is an attempt to obtain orders that could not survive adversarial scrutiny, at a moment specifically created by the Department to prevent that scrutiny.</w:t>
      </w:r>
    </w:p>
    <w:p>
      <w:pPr>
        <w:pStyle w:val="Heading2"/>
        <w:spacing w:after="160" w:before="240"/>
      </w:pPr>
      <w:r>
        <w:rPr>
          <w:rFonts w:ascii="Times New Roman" w:cs="Times New Roman" w:eastAsia="Times New Roman" w:hAnsi="Times New Roman"/>
          <w:b/>
          <w:bCs/>
          <w:sz w:val="24"/>
          <w:szCs w:val="24"/>
        </w:rPr>
        <w:t xml:space="preserve">C. No Access to Evidence</w:t>
      </w:r>
    </w:p>
    <w:p>
      <w:pPr>
        <w:spacing w:after="200" w:line="360"/>
        <w:jc w:val="left"/>
      </w:pPr>
      <w:r>
        <w:rPr>
          <w:rFonts w:ascii="Times New Roman" w:cs="Times New Roman" w:eastAsia="Times New Roman" w:hAnsi="Times New Roman"/>
          <w:b w:val="false"/>
          <w:bCs w:val="false"/>
          <w:i w:val="false"/>
          <w:iCs w:val="false"/>
          <w:sz w:val="24"/>
          <w:szCs w:val="24"/>
        </w:rPr>
        <w:t xml:space="preserve">I have not been provided with a single document filed in this case. I cannot see the petition, the affidavits, or the laboratory records for a test I immediately disputed. The following authorities make clear this Court cannot permit proceedings to continue on that basis:</w:t>
      </w:r>
    </w:p>
    <w:p>
      <w:pPr>
        <w:spacing w:after="200" w:line="360"/>
        <w:jc w:val="left"/>
      </w:pPr>
      <w:r>
        <w:rPr>
          <w:rFonts w:ascii="Times New Roman" w:cs="Times New Roman" w:eastAsia="Times New Roman" w:hAnsi="Times New Roman"/>
          <w:b w:val="false"/>
          <w:bCs w:val="false"/>
          <w:i w:val="false"/>
          <w:iCs w:val="false"/>
          <w:sz w:val="24"/>
          <w:szCs w:val="24"/>
        </w:rPr>
        <w:t xml:space="preserve">Goldberg v. Kelly, 397 U.S. 254, 267 (1970) — “[T]he recipient must be allowed to see the evidence being used against him so that he may rebut it.”</w:t>
      </w:r>
    </w:p>
    <w:p>
      <w:pPr>
        <w:spacing w:after="200" w:line="360"/>
        <w:jc w:val="left"/>
      </w:pPr>
      <w:r>
        <w:rPr>
          <w:rFonts w:ascii="Times New Roman" w:cs="Times New Roman" w:eastAsia="Times New Roman" w:hAnsi="Times New Roman"/>
          <w:b w:val="false"/>
          <w:bCs w:val="false"/>
          <w:i w:val="false"/>
          <w:iCs w:val="false"/>
          <w:sz w:val="24"/>
          <w:szCs w:val="24"/>
        </w:rPr>
        <w:t xml:space="preserve">Joint Anti-Fascist Refugee Committee v. McGrath, 341 U.S. 123, 172 (1951) (Frankfurter, J., concurring) — “The heart of the matter is that democracy implies respect for the elementary rights of men, however suspect or unworthy; a democratic government must therefore practice fairness; and fairness can rarely be obtained by secret, one-sided determination of facts decisive of rights.”</w:t>
      </w:r>
    </w:p>
    <w:p>
      <w:pPr>
        <w:spacing w:after="200" w:line="360"/>
        <w:jc w:val="left"/>
      </w:pPr>
      <w:r>
        <w:rPr>
          <w:rFonts w:ascii="Times New Roman" w:cs="Times New Roman" w:eastAsia="Times New Roman" w:hAnsi="Times New Roman"/>
          <w:b w:val="false"/>
          <w:bCs w:val="false"/>
          <w:i w:val="false"/>
          <w:iCs w:val="false"/>
          <w:sz w:val="24"/>
          <w:szCs w:val="24"/>
        </w:rPr>
        <w:t xml:space="preserve">In re Gault, 387 U.S. 1, 33 (1967) — Due process requires that a party be informed of the specific charges or factual claims against them in proceedings that may result in a deprivation of liberty.</w:t>
      </w:r>
    </w:p>
    <w:p>
      <w:pPr>
        <w:pStyle w:val="Heading2"/>
        <w:spacing w:after="160" w:before="240"/>
      </w:pPr>
      <w:r>
        <w:rPr>
          <w:rFonts w:ascii="Times New Roman" w:cs="Times New Roman" w:eastAsia="Times New Roman" w:hAnsi="Times New Roman"/>
          <w:b/>
          <w:bCs/>
          <w:sz w:val="24"/>
          <w:szCs w:val="24"/>
        </w:rPr>
        <w:t xml:space="preserve">D. Petition Contains Material Identifying Errors</w:t>
      </w:r>
    </w:p>
    <w:p>
      <w:pPr>
        <w:spacing w:after="200" w:line="360"/>
        <w:jc w:val="left"/>
      </w:pPr>
      <w:r>
        <w:rPr>
          <w:rFonts w:ascii="Times New Roman" w:cs="Times New Roman" w:eastAsia="Times New Roman" w:hAnsi="Times New Roman"/>
          <w:b w:val="false"/>
          <w:bCs w:val="false"/>
          <w:i w:val="false"/>
          <w:iCs w:val="false"/>
          <w:sz w:val="24"/>
          <w:szCs w:val="24"/>
        </w:rPr>
        <w:t xml:space="preserve">The petition identifies my son as Brian James Chapman Jr. — he is not a junior. That designation does not exist. Additionally, the date of birth listed for me in these proceedings is not my date of birth. It is my wife's. These errors are not trivial. The Supreme Court has addressed the standard of care required when government actors deprive citizens of fundamental rights:</w:t>
      </w:r>
    </w:p>
    <w:p>
      <w:pPr>
        <w:spacing w:after="200" w:line="360"/>
        <w:jc w:val="left"/>
      </w:pPr>
      <w:r>
        <w:rPr>
          <w:rFonts w:ascii="Times New Roman" w:cs="Times New Roman" w:eastAsia="Times New Roman" w:hAnsi="Times New Roman"/>
          <w:b w:val="false"/>
          <w:bCs w:val="false"/>
          <w:i w:val="false"/>
          <w:iCs w:val="false"/>
          <w:sz w:val="24"/>
          <w:szCs w:val="24"/>
        </w:rPr>
        <w:t xml:space="preserve">Daniels v. Williams, 474 U.S. 327, 331 (1986) — While mere negligence does not violate due process, a pattern of errors in the exercise of state authority affecting fundamental interests is relevant to the constitutional adequacy of the proceeding as a whole.</w:t>
      </w:r>
    </w:p>
    <w:p>
      <w:pPr>
        <w:spacing w:after="200" w:line="360"/>
        <w:jc w:val="left"/>
      </w:pPr>
      <w:r>
        <w:rPr>
          <w:rFonts w:ascii="Times New Roman" w:cs="Times New Roman" w:eastAsia="Times New Roman" w:hAnsi="Times New Roman"/>
          <w:b w:val="false"/>
          <w:bCs w:val="false"/>
          <w:i w:val="false"/>
          <w:iCs w:val="false"/>
          <w:sz w:val="24"/>
          <w:szCs w:val="24"/>
        </w:rPr>
        <w:t xml:space="preserve">If the Department cannot accurately identify the people in this case before filing, this Court should weigh carefully what standard of care governed everything else — the UA collection, the DNCO representation, and the failure to serve me before the 72-hour hearing.</w:t>
      </w:r>
    </w:p>
    <w:p>
      <w:pPr>
        <w:pStyle w:val="Heading1"/>
        <w:spacing w:after="200" w:before="300"/>
      </w:pPr>
      <w:r>
        <w:rPr>
          <w:rFonts w:ascii="Times New Roman" w:cs="Times New Roman" w:eastAsia="Times New Roman" w:hAnsi="Times New Roman"/>
          <w:b/>
          <w:bCs/>
          <w:sz w:val="26"/>
          <w:szCs w:val="26"/>
        </w:rPr>
        <w:t xml:space="preserve">IV. THE VIOLATIONS ARE INTERLOCKING — EACH MADE THE NEXT POSSIBLE</w:t>
      </w:r>
    </w:p>
    <w:p>
      <w:pPr>
        <w:spacing w:after="200" w:line="360"/>
        <w:jc w:val="left"/>
      </w:pPr>
      <w:r>
        <w:rPr>
          <w:rFonts w:ascii="Times New Roman" w:cs="Times New Roman" w:eastAsia="Times New Roman" w:hAnsi="Times New Roman"/>
          <w:b w:val="false"/>
          <w:bCs w:val="false"/>
          <w:i w:val="false"/>
          <w:iCs w:val="false"/>
          <w:sz w:val="24"/>
          <w:szCs w:val="24"/>
        </w:rPr>
        <w:t xml:space="preserve">These are not isolated errors. They form a chain in which each link was created by the Department's own conduct:</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used coercive threat to obtain a UA. The result was immediately disputed and never certified. The Department then verified the DNCO scope solely to represent to me that my children would remain home if I left. I left based on that verified representation. The moment I was gone, the Department filed an emergency hold citing the disputed UA, using my absence — which they created — as part of the basis for the hold. My absence made it impossible to serve me at my residence. My inability to be served meant I missed the 72-hour hearing. Missing that hearing meant I could not contest any of the evidence. At that hearing, the Department sought additional constraints on a parent they knew was absent and unreachable because of their own prior actions.</w:t>
      </w:r>
    </w:p>
    <w:p>
      <w:pPr>
        <w:spacing w:after="200" w:line="360"/>
        <w:jc w:val="left"/>
      </w:pPr>
      <w:r>
        <w:rPr>
          <w:rFonts w:ascii="Times New Roman" w:cs="Times New Roman" w:eastAsia="Times New Roman" w:hAnsi="Times New Roman"/>
          <w:b w:val="false"/>
          <w:bCs w:val="false"/>
          <w:i w:val="false"/>
          <w:iCs w:val="false"/>
          <w:sz w:val="24"/>
          <w:szCs w:val="24"/>
        </w:rPr>
        <w:t xml:space="preserve">Every step in this sequence was enabled by the step before it. Every constitutional violation was made possible by the Department's own preceding conduct. The Supreme Court has addressed this precise scenario — where government conduct creates the conditions for its own constitutionally required justification:</w:t>
      </w:r>
    </w:p>
    <w:p>
      <w:pPr>
        <w:spacing w:after="200" w:line="360"/>
        <w:jc w:val="left"/>
      </w:pPr>
      <w:r>
        <w:rPr>
          <w:rFonts w:ascii="Times New Roman" w:cs="Times New Roman" w:eastAsia="Times New Roman" w:hAnsi="Times New Roman"/>
          <w:b w:val="false"/>
          <w:bCs w:val="false"/>
          <w:i w:val="false"/>
          <w:iCs w:val="false"/>
          <w:sz w:val="24"/>
          <w:szCs w:val="24"/>
        </w:rPr>
        <w:t xml:space="preserve">Zinermon v. Burch, 494 U.S. 113, 136 (1990) — Where the state's own procedures and the predictable conduct of its agents foreseeably produce the deprivation of process, the state cannot escape responsibility on the theory that the deprivation was merely the product of individual discretion.</w:t>
      </w:r>
    </w:p>
    <w:p>
      <w:pPr>
        <w:spacing w:after="200" w:line="360"/>
        <w:jc w:val="left"/>
      </w:pPr>
      <w:r>
        <w:rPr>
          <w:rFonts w:ascii="Times New Roman" w:cs="Times New Roman" w:eastAsia="Times New Roman" w:hAnsi="Times New Roman"/>
          <w:b w:val="false"/>
          <w:bCs w:val="false"/>
          <w:i w:val="false"/>
          <w:iCs w:val="false"/>
          <w:sz w:val="24"/>
          <w:szCs w:val="24"/>
        </w:rPr>
        <w:t xml:space="preserve">Washington v. Glucksberg, 521 U.S. 702, 720 (1997) — Where a fundamental liberty interest is at stake, the government must demonstrate more than a rational basis; it must show a compelling interest pursued through narrowly tailored means. A manufactured emergency satisfies neither prong.</w:t>
      </w:r>
    </w:p>
    <w:p>
      <w:pPr>
        <w:spacing w:after="200" w:line="360"/>
        <w:jc w:val="left"/>
      </w:pPr>
      <w:r>
        <w:rPr>
          <w:rFonts w:ascii="Times New Roman" w:cs="Times New Roman" w:eastAsia="Times New Roman" w:hAnsi="Times New Roman"/>
          <w:b w:val="false"/>
          <w:bCs w:val="false"/>
          <w:i w:val="false"/>
          <w:iCs w:val="false"/>
          <w:sz w:val="24"/>
          <w:szCs w:val="24"/>
        </w:rPr>
        <w:t xml:space="preserve">This is not a collection of isolated errors. It is a pattern that moves in one direction: away from my rights and toward an unchallenged removal.</w:t>
      </w:r>
    </w:p>
    <w:p>
      <w:pPr>
        <w:pStyle w:val="Heading1"/>
        <w:spacing w:after="200" w:before="300"/>
      </w:pPr>
      <w:r>
        <w:rPr>
          <w:rFonts w:ascii="Times New Roman" w:cs="Times New Roman" w:eastAsia="Times New Roman" w:hAnsi="Times New Roman"/>
          <w:b/>
          <w:bCs/>
          <w:sz w:val="26"/>
          <w:szCs w:val="26"/>
        </w:rPr>
        <w:t xml:space="preserve">V. ANTICIPATED RESPONSES DO NOT RESOLVE THE CONSTITUTIONAL DEFECT</w:t>
      </w:r>
    </w:p>
    <w:p>
      <w:pPr>
        <w:spacing w:after="200" w:line="360"/>
        <w:jc w:val="left"/>
      </w:pPr>
      <w:r>
        <w:rPr>
          <w:rFonts w:ascii="Times New Roman" w:cs="Times New Roman" w:eastAsia="Times New Roman" w:hAnsi="Times New Roman"/>
          <w:b w:val="false"/>
          <w:bCs w:val="false"/>
          <w:i w:val="false"/>
          <w:iCs w:val="false"/>
          <w:sz w:val="24"/>
          <w:szCs w:val="24"/>
        </w:rPr>
        <w:t xml:space="preserve">The Department may offer several responses to this motion. None of them resolve the constitutional defects described above. Each is addressed below so the Court does not need to raise these questions independently.</w:t>
      </w:r>
    </w:p>
    <w:p>
      <w:pPr>
        <w:pStyle w:val="Heading2"/>
        <w:spacing w:after="160" w:before="240"/>
      </w:pPr>
      <w:r>
        <w:rPr>
          <w:rFonts w:ascii="Times New Roman" w:cs="Times New Roman" w:eastAsia="Times New Roman" w:hAnsi="Times New Roman"/>
          <w:b/>
          <w:bCs/>
          <w:sz w:val="24"/>
          <w:szCs w:val="24"/>
        </w:rPr>
        <w:t xml:space="preserve">1. “The positive UA justified the emergency.”</w:t>
      </w:r>
    </w:p>
    <w:p>
      <w:pPr>
        <w:spacing w:after="200" w:line="360"/>
        <w:jc w:val="left"/>
      </w:pPr>
      <w:r>
        <w:rPr>
          <w:rFonts w:ascii="Times New Roman" w:cs="Times New Roman" w:eastAsia="Times New Roman" w:hAnsi="Times New Roman"/>
          <w:b w:val="false"/>
          <w:bCs w:val="false"/>
          <w:i w:val="false"/>
          <w:iCs w:val="false"/>
          <w:sz w:val="24"/>
          <w:szCs w:val="24"/>
        </w:rPr>
        <w:t xml:space="preserve">Even assuming, solely for purposes of argument, that the UA accurately reflected recent drug use, that fact does not explain why the Department waited approximately seventy-two hours after learning I was the sole caregiver before declaring an emergency. An emergency exists at the time governmental action is taken, not merely because adverse evidence later exists.</w:t>
      </w:r>
    </w:p>
    <w:p>
      <w:pPr>
        <w:pStyle w:val="Heading2"/>
        <w:spacing w:after="160" w:before="240"/>
      </w:pPr>
      <w:r>
        <w:rPr>
          <w:rFonts w:ascii="Times New Roman" w:cs="Times New Roman" w:eastAsia="Times New Roman" w:hAnsi="Times New Roman"/>
          <w:b/>
          <w:bCs/>
          <w:sz w:val="24"/>
          <w:szCs w:val="24"/>
        </w:rPr>
        <w:t xml:space="preserve">2. “The Department acted out of an abundance of caution.”</w:t>
      </w:r>
    </w:p>
    <w:p>
      <w:pPr>
        <w:spacing w:after="200" w:line="360"/>
        <w:jc w:val="left"/>
      </w:pPr>
      <w:r>
        <w:rPr>
          <w:rFonts w:ascii="Times New Roman" w:cs="Times New Roman" w:eastAsia="Times New Roman" w:hAnsi="Times New Roman"/>
          <w:b w:val="false"/>
          <w:bCs w:val="false"/>
          <w:i w:val="false"/>
          <w:iCs w:val="false"/>
          <w:sz w:val="24"/>
          <w:szCs w:val="24"/>
        </w:rPr>
        <w:t xml:space="preserve">Constitutional rights are not suspended by generalized caution. Emergency authority exists only where immediate action is necessary because judicial process cannot safely be awaited. The Department must explain why it waited three days if the danger was genuinely immediate.</w:t>
      </w:r>
    </w:p>
    <w:p>
      <w:pPr>
        <w:pStyle w:val="Heading2"/>
        <w:spacing w:after="160" w:before="240"/>
      </w:pPr>
      <w:r>
        <w:rPr>
          <w:rFonts w:ascii="Times New Roman" w:cs="Times New Roman" w:eastAsia="Times New Roman" w:hAnsi="Times New Roman"/>
          <w:b/>
          <w:bCs/>
          <w:sz w:val="24"/>
          <w:szCs w:val="24"/>
        </w:rPr>
        <w:t xml:space="preserve">3. “Parents do not have an absolute right to custody.”</w:t>
      </w:r>
    </w:p>
    <w:p>
      <w:pPr>
        <w:spacing w:after="200" w:line="360"/>
        <w:jc w:val="left"/>
      </w:pPr>
      <w:r>
        <w:rPr>
          <w:rFonts w:ascii="Times New Roman" w:cs="Times New Roman" w:eastAsia="Times New Roman" w:hAnsi="Times New Roman"/>
          <w:b w:val="false"/>
          <w:bCs w:val="false"/>
          <w:i w:val="false"/>
          <w:iCs w:val="false"/>
          <w:sz w:val="24"/>
          <w:szCs w:val="24"/>
        </w:rPr>
        <w:t xml:space="preserve">I do not contend parental rights are absolute. I contend only that the Constitution requires the government to satisfy the procedural and substantive standards governing emergency removal before interfering with those rights.</w:t>
      </w:r>
    </w:p>
    <w:p>
      <w:pPr>
        <w:pStyle w:val="Heading2"/>
        <w:spacing w:after="160" w:before="240"/>
      </w:pPr>
      <w:r>
        <w:rPr>
          <w:rFonts w:ascii="Times New Roman" w:cs="Times New Roman" w:eastAsia="Times New Roman" w:hAnsi="Times New Roman"/>
          <w:b/>
          <w:bCs/>
          <w:sz w:val="24"/>
          <w:szCs w:val="24"/>
        </w:rPr>
        <w:t xml:space="preserve">4. “The seventy-two-hour hearing cured any defect.”</w:t>
      </w:r>
    </w:p>
    <w:p>
      <w:pPr>
        <w:spacing w:after="200" w:line="360"/>
        <w:jc w:val="left"/>
      </w:pPr>
      <w:r>
        <w:rPr>
          <w:rFonts w:ascii="Times New Roman" w:cs="Times New Roman" w:eastAsia="Times New Roman" w:hAnsi="Times New Roman"/>
          <w:b w:val="false"/>
          <w:bCs w:val="false"/>
          <w:i w:val="false"/>
          <w:iCs w:val="false"/>
          <w:sz w:val="24"/>
          <w:szCs w:val="24"/>
        </w:rPr>
        <w:t xml:space="preserve">A hearing conducted without notice to the affected parent cannot cure the absence of notice or the absence of an opportunity to be heard. The hearing did not cure the earlier violation; it compounded it, because it proceeded to consider additional restrictions against a parent it knew could not attend.</w:t>
      </w:r>
    </w:p>
    <w:p>
      <w:pPr>
        <w:pStyle w:val="Heading2"/>
        <w:spacing w:after="160" w:before="240"/>
      </w:pPr>
      <w:r>
        <w:rPr>
          <w:rFonts w:ascii="Times New Roman" w:cs="Times New Roman" w:eastAsia="Times New Roman" w:hAnsi="Times New Roman"/>
          <w:b/>
          <w:bCs/>
          <w:sz w:val="24"/>
          <w:szCs w:val="24"/>
        </w:rPr>
        <w:t xml:space="preserve">5. “Any service problem was harmless.”</w:t>
      </w:r>
    </w:p>
    <w:p>
      <w:pPr>
        <w:spacing w:after="200" w:line="360"/>
        <w:jc w:val="left"/>
      </w:pPr>
      <w:r>
        <w:rPr>
          <w:rFonts w:ascii="Times New Roman" w:cs="Times New Roman" w:eastAsia="Times New Roman" w:hAnsi="Times New Roman"/>
          <w:b w:val="false"/>
          <w:bCs w:val="false"/>
          <w:i w:val="false"/>
          <w:iCs w:val="false"/>
          <w:sz w:val="24"/>
          <w:szCs w:val="24"/>
        </w:rPr>
        <w:t xml:space="preserve">The absence of service prevented me from attending the only hearing designed to test whether the asserted emergency actually existed. The inability to challenge the Department's factual allegations at that hearing is the prejudice. It is not a technicality.</w:t>
      </w:r>
    </w:p>
    <w:p>
      <w:pPr>
        <w:pStyle w:val="Heading2"/>
        <w:spacing w:after="160" w:before="240"/>
      </w:pPr>
      <w:r>
        <w:rPr>
          <w:rFonts w:ascii="Times New Roman" w:cs="Times New Roman" w:eastAsia="Times New Roman" w:hAnsi="Times New Roman"/>
          <w:b/>
          <w:bCs/>
          <w:sz w:val="24"/>
          <w:szCs w:val="24"/>
        </w:rPr>
        <w:t xml:space="preserve">6. “The Department relied on professional judgment.”</w:t>
      </w:r>
    </w:p>
    <w:p>
      <w:pPr>
        <w:spacing w:after="200" w:line="360"/>
        <w:jc w:val="left"/>
      </w:pPr>
      <w:r>
        <w:rPr>
          <w:rFonts w:ascii="Times New Roman" w:cs="Times New Roman" w:eastAsia="Times New Roman" w:hAnsi="Times New Roman"/>
          <w:b w:val="false"/>
          <w:bCs w:val="false"/>
          <w:i w:val="false"/>
          <w:iCs w:val="false"/>
          <w:sz w:val="24"/>
          <w:szCs w:val="24"/>
        </w:rPr>
        <w:t xml:space="preserve">Professional judgment does not eliminate constitutional scrutiny. If professional judgment were sufficient by itself to justify emergency removal, due process protections in this context would become discretionary rather than constitutional.</w:t>
      </w:r>
    </w:p>
    <w:p>
      <w:pPr>
        <w:pStyle w:val="Heading2"/>
        <w:spacing w:after="160" w:before="240"/>
      </w:pPr>
      <w:r>
        <w:rPr>
          <w:rFonts w:ascii="Times New Roman" w:cs="Times New Roman" w:eastAsia="Times New Roman" w:hAnsi="Times New Roman"/>
          <w:b/>
          <w:bCs/>
          <w:sz w:val="24"/>
          <w:szCs w:val="24"/>
        </w:rPr>
        <w:t xml:space="preserve">7. “The Court should defer to the Department.”</w:t>
      </w:r>
    </w:p>
    <w:p>
      <w:pPr>
        <w:spacing w:after="200" w:line="360"/>
        <w:jc w:val="left"/>
      </w:pPr>
      <w:r>
        <w:rPr>
          <w:rFonts w:ascii="Times New Roman" w:cs="Times New Roman" w:eastAsia="Times New Roman" w:hAnsi="Times New Roman"/>
          <w:b w:val="false"/>
          <w:bCs w:val="false"/>
          <w:i w:val="false"/>
          <w:iCs w:val="false"/>
          <w:sz w:val="24"/>
          <w:szCs w:val="24"/>
        </w:rPr>
        <w:t xml:space="preserve">Courts defer to factual determinations supported by evidence, not to procedural shortcuts that eliminate adversarial testing. Deference to an agency's conclusion is not a substitute for the process required before that conclusion may be acted upon.</w:t>
      </w:r>
    </w:p>
    <w:p>
      <w:pPr>
        <w:pStyle w:val="Heading2"/>
        <w:spacing w:after="160" w:before="240"/>
      </w:pPr>
      <w:r>
        <w:rPr>
          <w:rFonts w:ascii="Times New Roman" w:cs="Times New Roman" w:eastAsia="Times New Roman" w:hAnsi="Times New Roman"/>
          <w:b/>
          <w:bCs/>
          <w:sz w:val="24"/>
          <w:szCs w:val="24"/>
        </w:rPr>
        <w:t xml:space="preserve">8. “Dismissal is too drastic a remedy.”</w:t>
      </w:r>
    </w:p>
    <w:p>
      <w:pPr>
        <w:spacing w:after="200" w:line="360"/>
        <w:jc w:val="left"/>
      </w:pPr>
      <w:r>
        <w:rPr>
          <w:rFonts w:ascii="Times New Roman" w:cs="Times New Roman" w:eastAsia="Times New Roman" w:hAnsi="Times New Roman"/>
          <w:b w:val="false"/>
          <w:bCs w:val="false"/>
          <w:i w:val="false"/>
          <w:iCs w:val="false"/>
          <w:sz w:val="24"/>
          <w:szCs w:val="24"/>
        </w:rPr>
        <w:t xml:space="preserve">If the Court concludes dismissal is inappropriate, the Court should nevertheless, at minimum: vacate the emergency findings; require immediate and complete service; order production of all evidence identified in this motion; reopen the emergency hearing with proper notice to me; exclude any evidence obtained through unconstitutional procedures; order preservation of all recordings and records; and make the written findings requested below.</w:t>
      </w:r>
    </w:p>
    <w:p>
      <w:pPr>
        <w:pStyle w:val="Heading2"/>
        <w:spacing w:after="160" w:before="240"/>
      </w:pPr>
      <w:r>
        <w:rPr>
          <w:rFonts w:ascii="Times New Roman" w:cs="Times New Roman" w:eastAsia="Times New Roman" w:hAnsi="Times New Roman"/>
          <w:b/>
          <w:bCs/>
          <w:sz w:val="24"/>
          <w:szCs w:val="24"/>
        </w:rPr>
        <w:t xml:space="preserve">9. “These are factual disputes unsuited to a motion.”</w:t>
      </w:r>
    </w:p>
    <w:p>
      <w:pPr>
        <w:spacing w:after="200" w:line="360"/>
        <w:jc w:val="left"/>
      </w:pPr>
      <w:r>
        <w:rPr>
          <w:rFonts w:ascii="Times New Roman" w:cs="Times New Roman" w:eastAsia="Times New Roman" w:hAnsi="Times New Roman"/>
          <w:b w:val="false"/>
          <w:bCs w:val="false"/>
          <w:i w:val="false"/>
          <w:iCs w:val="false"/>
          <w:sz w:val="24"/>
          <w:szCs w:val="24"/>
        </w:rPr>
        <w:t xml:space="preserve">Many material facts are not disputed. The Department's own sequence of actions — its delay, its verification of the no-contact order, its instruction that I leave, and the timing of the emergency hold — appear in its own records. The constitutional question is whether those undisputed actions satisfy due process, which is a legal question properly resolved on this motion.</w:t>
      </w:r>
    </w:p>
    <w:p>
      <w:pPr>
        <w:pStyle w:val="Heading2"/>
        <w:spacing w:after="160" w:before="240"/>
      </w:pPr>
      <w:r>
        <w:rPr>
          <w:rFonts w:ascii="Times New Roman" w:cs="Times New Roman" w:eastAsia="Times New Roman" w:hAnsi="Times New Roman"/>
          <w:b/>
          <w:bCs/>
          <w:sz w:val="24"/>
          <w:szCs w:val="24"/>
        </w:rPr>
        <w:t xml:space="preserve">10. “The Department acted in good faith.”</w:t>
      </w:r>
    </w:p>
    <w:p>
      <w:pPr>
        <w:spacing w:after="200" w:line="360"/>
        <w:jc w:val="left"/>
      </w:pPr>
      <w:r>
        <w:rPr>
          <w:rFonts w:ascii="Times New Roman" w:cs="Times New Roman" w:eastAsia="Times New Roman" w:hAnsi="Times New Roman"/>
          <w:b w:val="false"/>
          <w:bCs w:val="false"/>
          <w:i w:val="false"/>
          <w:iCs w:val="false"/>
          <w:sz w:val="24"/>
          <w:szCs w:val="24"/>
        </w:rPr>
        <w:t xml:space="preserve">This motion does not require the Court to determine subjective intent. Even assuming every official acted in complete good faith, the sequence of events may still fail to satisfy the constitutional requirements governing emergency removal and notice. Good faith and constitutional sufficiency are separate questions.</w:t>
      </w:r>
    </w:p>
    <w:p>
      <w:pPr>
        <w:pStyle w:val="Heading1"/>
        <w:spacing w:after="200" w:before="300"/>
      </w:pPr>
      <w:r>
        <w:rPr>
          <w:rFonts w:ascii="Times New Roman" w:cs="Times New Roman" w:eastAsia="Times New Roman" w:hAnsi="Times New Roman"/>
          <w:b/>
          <w:bCs/>
          <w:sz w:val="26"/>
          <w:szCs w:val="26"/>
        </w:rPr>
        <w:t xml:space="preserve">VI. RELIEF REQUESTED</w:t>
      </w:r>
    </w:p>
    <w:p>
      <w:pPr>
        <w:pStyle w:val="Heading2"/>
        <w:spacing w:after="160" w:before="240"/>
      </w:pPr>
      <w:r>
        <w:rPr>
          <w:rFonts w:ascii="Times New Roman" w:cs="Times New Roman" w:eastAsia="Times New Roman" w:hAnsi="Times New Roman"/>
          <w:b/>
          <w:bCs/>
          <w:sz w:val="24"/>
          <w:szCs w:val="24"/>
        </w:rPr>
        <w:t xml:space="preserve">A. Primary Relief — Dismissal</w:t>
      </w:r>
    </w:p>
    <w:p>
      <w:pPr>
        <w:spacing w:after="200" w:line="360"/>
        <w:jc w:val="left"/>
      </w:pPr>
      <w:r>
        <w:rPr>
          <w:rFonts w:ascii="Times New Roman" w:cs="Times New Roman" w:eastAsia="Times New Roman" w:hAnsi="Times New Roman"/>
          <w:b w:val="false"/>
          <w:bCs w:val="false"/>
          <w:i w:val="false"/>
          <w:iCs w:val="false"/>
          <w:sz w:val="24"/>
          <w:szCs w:val="24"/>
        </w:rPr>
        <w:t xml:space="preserve">I move to dismiss this petition. The removal rests on a contested urinalysis I never certified, an emergency that did not exist at the time the hold was filed — because the alleged danger had already departed at the Department's own direction — and proceedings conducted without my knowledge or participation. The constitutional defects are not curable by further proceedings under the same petition. Dismissal is the appropriate remedy.</w:t>
      </w:r>
    </w:p>
    <w:p>
      <w:pPr>
        <w:pStyle w:val="Heading2"/>
        <w:spacing w:after="160" w:before="240"/>
      </w:pPr>
      <w:r>
        <w:rPr>
          <w:rFonts w:ascii="Times New Roman" w:cs="Times New Roman" w:eastAsia="Times New Roman" w:hAnsi="Times New Roman"/>
          <w:b/>
          <w:bCs/>
          <w:sz w:val="24"/>
          <w:szCs w:val="24"/>
        </w:rPr>
        <w:t xml:space="preserve">B. Alternative Relief — Stay Pending Proper Service</w:t>
      </w:r>
    </w:p>
    <w:p>
      <w:pPr>
        <w:spacing w:after="200" w:line="360"/>
        <w:jc w:val="left"/>
      </w:pPr>
      <w:r>
        <w:rPr>
          <w:rFonts w:ascii="Times New Roman" w:cs="Times New Roman" w:eastAsia="Times New Roman" w:hAnsi="Times New Roman"/>
          <w:b w:val="false"/>
          <w:bCs w:val="false"/>
          <w:i w:val="false"/>
          <w:iCs w:val="false"/>
          <w:sz w:val="24"/>
          <w:szCs w:val="24"/>
        </w:rPr>
        <w:t xml:space="preserve">If the Court does not dismiss, I request that all proceedings be stayed immediately until:</w:t>
      </w:r>
    </w:p>
    <w:p>
      <w:pPr>
        <w:spacing w:after="200" w:line="360"/>
        <w:jc w:val="left"/>
      </w:pPr>
      <w:r>
        <w:rPr>
          <w:rFonts w:ascii="Times New Roman" w:cs="Times New Roman" w:eastAsia="Times New Roman" w:hAnsi="Times New Roman"/>
          <w:b w:val="false"/>
          <w:bCs w:val="false"/>
          <w:i w:val="false"/>
          <w:iCs w:val="false"/>
          <w:sz w:val="24"/>
          <w:szCs w:val="24"/>
        </w:rPr>
        <w:t xml:space="preserve">(1) I have been properly served with every petition, affidavit, report, exhibit, case plan, laboratory record, safety assessment, and court filing in this matter;</w:t>
      </w:r>
    </w:p>
    <w:p>
      <w:pPr>
        <w:spacing w:after="200" w:line="360"/>
        <w:jc w:val="left"/>
      </w:pPr>
      <w:r>
        <w:rPr>
          <w:rFonts w:ascii="Times New Roman" w:cs="Times New Roman" w:eastAsia="Times New Roman" w:hAnsi="Times New Roman"/>
          <w:b w:val="false"/>
          <w:bCs w:val="false"/>
          <w:i w:val="false"/>
          <w:iCs w:val="false"/>
          <w:sz w:val="24"/>
          <w:szCs w:val="24"/>
        </w:rPr>
        <w:t xml:space="preserve">(2) I have been given sufficient time to review those materials and prepare a response; and</w:t>
      </w:r>
    </w:p>
    <w:p>
      <w:pPr>
        <w:spacing w:after="200" w:line="360"/>
        <w:jc w:val="left"/>
      </w:pPr>
      <w:r>
        <w:rPr>
          <w:rFonts w:ascii="Times New Roman" w:cs="Times New Roman" w:eastAsia="Times New Roman" w:hAnsi="Times New Roman"/>
          <w:b w:val="false"/>
          <w:bCs w:val="false"/>
          <w:i w:val="false"/>
          <w:iCs w:val="false"/>
          <w:sz w:val="24"/>
          <w:szCs w:val="24"/>
        </w:rPr>
        <w:t xml:space="preserve">(3) The Department has been required to identify, on the record, the specific statutory authority and factual basis for both the initial emergency hold and its continued maintenance — including an explanation of how a contested UA justified an emergency filed after I had already left the residence at the Department's direction.</w:t>
      </w:r>
    </w:p>
    <w:p>
      <w:pPr>
        <w:pStyle w:val="Heading2"/>
        <w:spacing w:after="160" w:before="240"/>
      </w:pPr>
      <w:r>
        <w:rPr>
          <w:rFonts w:ascii="Times New Roman" w:cs="Times New Roman" w:eastAsia="Times New Roman" w:hAnsi="Times New Roman"/>
          <w:b/>
          <w:bCs/>
          <w:sz w:val="24"/>
          <w:szCs w:val="24"/>
        </w:rPr>
        <w:t xml:space="preserve">C. Preservation of Evidence — Urgent</w:t>
      </w:r>
    </w:p>
    <w:p>
      <w:pPr>
        <w:spacing w:after="200" w:line="360"/>
        <w:jc w:val="left"/>
      </w:pPr>
      <w:r>
        <w:rPr>
          <w:rFonts w:ascii="Times New Roman" w:cs="Times New Roman" w:eastAsia="Times New Roman" w:hAnsi="Times New Roman"/>
          <w:b w:val="false"/>
          <w:bCs w:val="false"/>
          <w:i w:val="false"/>
          <w:iCs w:val="false"/>
          <w:sz w:val="24"/>
          <w:szCs w:val="24"/>
        </w:rPr>
        <w:t xml:space="preserve">I request that this Court order the immediate preservation of all evidence, with particular urgency as to:</w:t>
      </w:r>
    </w:p>
    <w:p>
      <w:pPr>
        <w:spacing w:after="200" w:line="360"/>
        <w:jc w:val="left"/>
      </w:pPr>
      <w:r>
        <w:rPr>
          <w:rFonts w:ascii="Times New Roman" w:cs="Times New Roman" w:eastAsia="Times New Roman" w:hAnsi="Times New Roman"/>
          <w:b w:val="false"/>
          <w:bCs w:val="false"/>
          <w:i w:val="false"/>
          <w:iCs w:val="false"/>
          <w:sz w:val="24"/>
          <w:szCs w:val="24"/>
        </w:rPr>
        <w:t xml:space="preserve">(1) Body-camera footage from the officer present on Monday. That footage captures my immediate objection to the urinalysis sample, the officer's acknowledgment of the visible contamination, the Department's representation that the children would remain home, and the moment after I left when the Department disclosed the hold. If that footage has been altered, deleted, or is claimed unavailable, that fact is itself evidence and must be preserved.</w:t>
      </w:r>
    </w:p>
    <w:p>
      <w:pPr>
        <w:spacing w:after="200" w:line="360"/>
        <w:jc w:val="left"/>
      </w:pPr>
      <w:r>
        <w:rPr>
          <w:rFonts w:ascii="Times New Roman" w:cs="Times New Roman" w:eastAsia="Times New Roman" w:hAnsi="Times New Roman"/>
          <w:b w:val="false"/>
          <w:bCs w:val="false"/>
          <w:i w:val="false"/>
          <w:iCs w:val="false"/>
          <w:sz w:val="24"/>
          <w:szCs w:val="24"/>
        </w:rPr>
        <w:t xml:space="preserve">(2) All squad and dash-camera video; all social worker notes, emails, text messages, and internal communications; the original laboratory specimen and chain-of-custody documentation; all dispatch logs; and all prior hearing recordings.</w:t>
      </w:r>
    </w:p>
    <w:p>
      <w:pPr>
        <w:pStyle w:val="Heading2"/>
        <w:spacing w:after="160" w:before="240"/>
      </w:pPr>
      <w:r>
        <w:rPr>
          <w:rFonts w:ascii="Times New Roman" w:cs="Times New Roman" w:eastAsia="Times New Roman" w:hAnsi="Times New Roman"/>
          <w:b/>
          <w:bCs/>
          <w:sz w:val="24"/>
          <w:szCs w:val="24"/>
        </w:rPr>
        <w:t xml:space="preserve">D. Required Written Findings</w:t>
      </w:r>
    </w:p>
    <w:p>
      <w:pPr>
        <w:spacing w:after="200" w:line="360"/>
        <w:jc w:val="left"/>
      </w:pPr>
      <w:r>
        <w:rPr>
          <w:rFonts w:ascii="Times New Roman" w:cs="Times New Roman" w:eastAsia="Times New Roman" w:hAnsi="Times New Roman"/>
          <w:b w:val="false"/>
          <w:bCs w:val="false"/>
          <w:i w:val="false"/>
          <w:iCs w:val="false"/>
          <w:sz w:val="24"/>
          <w:szCs w:val="24"/>
        </w:rPr>
        <w:t xml:space="preserve">In any event, I request written findings of fact and conclusions of law specifically addressing:</w:t>
      </w:r>
    </w:p>
    <w:p>
      <w:pPr>
        <w:spacing w:after="200" w:line="360"/>
        <w:jc w:val="left"/>
      </w:pPr>
      <w:r>
        <w:rPr>
          <w:rFonts w:ascii="Times New Roman" w:cs="Times New Roman" w:eastAsia="Times New Roman" w:hAnsi="Times New Roman"/>
          <w:b w:val="false"/>
          <w:bCs w:val="false"/>
          <w:i w:val="false"/>
          <w:iCs w:val="false"/>
          <w:sz w:val="24"/>
          <w:szCs w:val="24"/>
        </w:rPr>
        <w:t xml:space="preserve">(1) Whether the Department had a constitutionally sufficient factual basis for emergency removal at the moment the hold was filed — after I had already left the home at the Department's direction;</w:t>
      </w:r>
    </w:p>
    <w:p>
      <w:pPr>
        <w:spacing w:after="200" w:line="360"/>
        <w:jc w:val="left"/>
      </w:pPr>
      <w:r>
        <w:rPr>
          <w:rFonts w:ascii="Times New Roman" w:cs="Times New Roman" w:eastAsia="Times New Roman" w:hAnsi="Times New Roman"/>
          <w:b w:val="false"/>
          <w:bCs w:val="false"/>
          <w:i w:val="false"/>
          <w:iCs w:val="false"/>
          <w:sz w:val="24"/>
          <w:szCs w:val="24"/>
        </w:rPr>
        <w:t xml:space="preserve">(2) Whether the Department's representation that my children would remain home, followed immediately by the filing of a hold after I departed, constitutes a good-faith invocation of emergency authority or a manufactured basis for removal;</w:t>
      </w:r>
    </w:p>
    <w:p>
      <w:pPr>
        <w:spacing w:after="200" w:line="360"/>
        <w:jc w:val="left"/>
      </w:pPr>
      <w:r>
        <w:rPr>
          <w:rFonts w:ascii="Times New Roman" w:cs="Times New Roman" w:eastAsia="Times New Roman" w:hAnsi="Times New Roman"/>
          <w:b w:val="false"/>
          <w:bCs w:val="false"/>
          <w:i w:val="false"/>
          <w:iCs w:val="false"/>
          <w:sz w:val="24"/>
          <w:szCs w:val="24"/>
        </w:rPr>
        <w:t xml:space="preserve">(3) Whether the 72-hour hearing, conducted without notice to me and without my participation, satisfied the due process requirements of the Fourteenth Amendment; and</w:t>
      </w:r>
    </w:p>
    <w:p>
      <w:pPr>
        <w:spacing w:after="200" w:line="360"/>
        <w:jc w:val="left"/>
      </w:pPr>
      <w:r>
        <w:rPr>
          <w:rFonts w:ascii="Times New Roman" w:cs="Times New Roman" w:eastAsia="Times New Roman" w:hAnsi="Times New Roman"/>
          <w:b w:val="false"/>
          <w:bCs w:val="false"/>
          <w:i w:val="false"/>
          <w:iCs w:val="false"/>
          <w:sz w:val="24"/>
          <w:szCs w:val="24"/>
        </w:rPr>
        <w:t xml:space="preserve">(4) Whether continued removal can be maintained consistent with due process while I remain unserved and excluded from the proceedings determining my children's custody.</w:t>
      </w:r>
    </w:p>
    <w:p>
      <w:pPr>
        <w:spacing w:after="200" w:line="360"/>
        <w:jc w:val="left"/>
      </w:pPr>
      <w:r>
        <w:rPr>
          <w:rFonts w:ascii="Times New Roman" w:cs="Times New Roman" w:eastAsia="Times New Roman" w:hAnsi="Times New Roman"/>
          <w:b w:val="false"/>
          <w:bCs w:val="false"/>
          <w:i w:val="false"/>
          <w:iCs w:val="false"/>
          <w:sz w:val="24"/>
          <w:szCs w:val="24"/>
        </w:rPr>
        <w:t xml:space="preserve">A denial of this motion without written findings on these questions is itself a constitutional error that will be raised on appeal. Every question not addressed in this Court's ruling will be presented to the appellate court with a specific request that the appellate court address what this Court did not.</w:t>
      </w:r>
    </w:p>
    <w:p>
      <w:pPr>
        <w:pStyle w:val="Heading1"/>
        <w:spacing w:after="200" w:before="300"/>
      </w:pPr>
      <w:r>
        <w:rPr>
          <w:rFonts w:ascii="Times New Roman" w:cs="Times New Roman" w:eastAsia="Times New Roman" w:hAnsi="Times New Roman"/>
          <w:b/>
          <w:bCs/>
          <w:sz w:val="26"/>
          <w:szCs w:val="26"/>
        </w:rPr>
        <w:t xml:space="preserve">NOTICE TO THE COURT — DENIAL REQUIRES DEPARTURE FROM BINDING SCOTUS PRECEDENT</w:t>
      </w:r>
    </w:p>
    <w:p>
      <w:pPr>
        <w:spacing w:after="200" w:line="360"/>
        <w:jc w:val="left"/>
      </w:pPr>
      <w:r>
        <w:rPr>
          <w:rFonts w:ascii="Times New Roman" w:cs="Times New Roman" w:eastAsia="Times New Roman" w:hAnsi="Times New Roman"/>
          <w:b w:val="false"/>
          <w:bCs w:val="false"/>
          <w:i w:val="false"/>
          <w:iCs w:val="false"/>
          <w:sz w:val="24"/>
          <w:szCs w:val="24"/>
        </w:rPr>
        <w:t xml:space="preserve">This motion is structured so that denial requires this Court to openly contradict, distinguish, or ignore binding Supreme Court holdings. Each of the following authorities is directly applicable. A written ruling denying this motion must address each one specifically. Failure to do so is an independent ground for appellate reversal:</w:t>
      </w:r>
    </w:p>
    <w:p>
      <w:pPr>
        <w:pStyle w:val="Heading2"/>
        <w:spacing w:after="160" w:before="240"/>
      </w:pPr>
      <w:r>
        <w:rPr>
          <w:rFonts w:ascii="Times New Roman" w:cs="Times New Roman" w:eastAsia="Times New Roman" w:hAnsi="Times New Roman"/>
          <w:b/>
          <w:bCs/>
          <w:sz w:val="24"/>
          <w:szCs w:val="24"/>
        </w:rPr>
        <w:t xml:space="preserve">Parental Liberty</w:t>
      </w:r>
    </w:p>
    <w:p>
      <w:pPr>
        <w:spacing w:after="200" w:line="360"/>
        <w:jc w:val="left"/>
      </w:pPr>
      <w:r>
        <w:rPr>
          <w:rFonts w:ascii="Times New Roman" w:cs="Times New Roman" w:eastAsia="Times New Roman" w:hAnsi="Times New Roman"/>
          <w:b w:val="false"/>
          <w:bCs w:val="false"/>
          <w:i w:val="false"/>
          <w:iCs w:val="false"/>
          <w:sz w:val="24"/>
          <w:szCs w:val="24"/>
        </w:rPr>
        <w:t xml:space="preserve">Troxel v. Granville, 530 U.S. 57 (2000) — Parent-child relationship is a fundamental liberty interest.</w:t>
      </w:r>
    </w:p>
    <w:p>
      <w:pPr>
        <w:spacing w:after="200" w:line="360"/>
        <w:jc w:val="left"/>
      </w:pPr>
      <w:r>
        <w:rPr>
          <w:rFonts w:ascii="Times New Roman" w:cs="Times New Roman" w:eastAsia="Times New Roman" w:hAnsi="Times New Roman"/>
          <w:b w:val="false"/>
          <w:bCs w:val="false"/>
          <w:i w:val="false"/>
          <w:iCs w:val="false"/>
          <w:sz w:val="24"/>
          <w:szCs w:val="24"/>
        </w:rPr>
        <w:t xml:space="preserve">Santosky v. Kramer, 455 U.S. 745 (1982) — Clear and convincing evidence required before state may sever parental rights.</w:t>
      </w:r>
    </w:p>
    <w:p>
      <w:pPr>
        <w:spacing w:after="200" w:line="360"/>
        <w:jc w:val="left"/>
      </w:pPr>
      <w:r>
        <w:rPr>
          <w:rFonts w:ascii="Times New Roman" w:cs="Times New Roman" w:eastAsia="Times New Roman" w:hAnsi="Times New Roman"/>
          <w:b w:val="false"/>
          <w:bCs w:val="false"/>
          <w:i w:val="false"/>
          <w:iCs w:val="false"/>
          <w:sz w:val="24"/>
          <w:szCs w:val="24"/>
        </w:rPr>
        <w:t xml:space="preserve">Stanley v. Illinois, 405 U.S. 645 (1972) — Parent's interest in custody warrants deference absent compelling state interest.</w:t>
      </w:r>
    </w:p>
    <w:p>
      <w:pPr>
        <w:pStyle w:val="Heading2"/>
        <w:spacing w:after="160" w:before="240"/>
      </w:pPr>
      <w:r>
        <w:rPr>
          <w:rFonts w:ascii="Times New Roman" w:cs="Times New Roman" w:eastAsia="Times New Roman" w:hAnsi="Times New Roman"/>
          <w:b/>
          <w:bCs/>
          <w:sz w:val="24"/>
          <w:szCs w:val="24"/>
        </w:rPr>
        <w:t xml:space="preserve">Notice</w:t>
      </w:r>
    </w:p>
    <w:p>
      <w:pPr>
        <w:spacing w:after="200" w:line="360"/>
        <w:jc w:val="left"/>
      </w:pPr>
      <w:r>
        <w:rPr>
          <w:rFonts w:ascii="Times New Roman" w:cs="Times New Roman" w:eastAsia="Times New Roman" w:hAnsi="Times New Roman"/>
          <w:b w:val="false"/>
          <w:bCs w:val="false"/>
          <w:i w:val="false"/>
          <w:iCs w:val="false"/>
          <w:sz w:val="24"/>
          <w:szCs w:val="24"/>
        </w:rPr>
        <w:t xml:space="preserve">Mullane v. Central Hanover Bank, 339 U.S. 306 (1950) — Notice must be reasonably calculated to inform; secret proceedings are void.</w:t>
      </w:r>
    </w:p>
    <w:p>
      <w:pPr>
        <w:spacing w:after="200" w:line="360"/>
        <w:jc w:val="left"/>
      </w:pPr>
      <w:r>
        <w:rPr>
          <w:rFonts w:ascii="Times New Roman" w:cs="Times New Roman" w:eastAsia="Times New Roman" w:hAnsi="Times New Roman"/>
          <w:b w:val="false"/>
          <w:bCs w:val="false"/>
          <w:i w:val="false"/>
          <w:iCs w:val="false"/>
          <w:sz w:val="24"/>
          <w:szCs w:val="24"/>
        </w:rPr>
        <w:t xml:space="preserve">Memphis Light, Gas &amp; Water, 436 U.S. 1 (1978) — Notice must be provided at a meaningful time and in a meaningful manner.</w:t>
      </w:r>
    </w:p>
    <w:p>
      <w:pPr>
        <w:pStyle w:val="Heading2"/>
        <w:spacing w:after="160" w:before="240"/>
      </w:pPr>
      <w:r>
        <w:rPr>
          <w:rFonts w:ascii="Times New Roman" w:cs="Times New Roman" w:eastAsia="Times New Roman" w:hAnsi="Times New Roman"/>
          <w:b/>
          <w:bCs/>
          <w:sz w:val="24"/>
          <w:szCs w:val="24"/>
        </w:rPr>
        <w:t xml:space="preserve">Opportunity to Be Heard</w:t>
      </w:r>
    </w:p>
    <w:p>
      <w:pPr>
        <w:spacing w:after="200" w:line="360"/>
        <w:jc w:val="left"/>
      </w:pPr>
      <w:r>
        <w:rPr>
          <w:rFonts w:ascii="Times New Roman" w:cs="Times New Roman" w:eastAsia="Times New Roman" w:hAnsi="Times New Roman"/>
          <w:b w:val="false"/>
          <w:bCs w:val="false"/>
          <w:i w:val="false"/>
          <w:iCs w:val="false"/>
          <w:sz w:val="24"/>
          <w:szCs w:val="24"/>
        </w:rPr>
        <w:t xml:space="preserve">Mathews v. Eldridge, 424 U.S. 319 (1976) — Three-factor balancing; parent's interest here is at apex of constitutional protection.</w:t>
      </w:r>
    </w:p>
    <w:p>
      <w:pPr>
        <w:spacing w:after="200" w:line="360"/>
        <w:jc w:val="left"/>
      </w:pPr>
      <w:r>
        <w:rPr>
          <w:rFonts w:ascii="Times New Roman" w:cs="Times New Roman" w:eastAsia="Times New Roman" w:hAnsi="Times New Roman"/>
          <w:b w:val="false"/>
          <w:bCs w:val="false"/>
          <w:i w:val="false"/>
          <w:iCs w:val="false"/>
          <w:sz w:val="24"/>
          <w:szCs w:val="24"/>
        </w:rPr>
        <w:t xml:space="preserve">Armstrong v. Manzo, 380 U.S. 545 (1965) — Opportunity to be heard must be granted at meaningful time in meaningful manner.</w:t>
      </w:r>
    </w:p>
    <w:p>
      <w:pPr>
        <w:spacing w:after="200" w:line="360"/>
        <w:jc w:val="left"/>
      </w:pPr>
      <w:r>
        <w:rPr>
          <w:rFonts w:ascii="Times New Roman" w:cs="Times New Roman" w:eastAsia="Times New Roman" w:hAnsi="Times New Roman"/>
          <w:b w:val="false"/>
          <w:bCs w:val="false"/>
          <w:i w:val="false"/>
          <w:iCs w:val="false"/>
          <w:sz w:val="24"/>
          <w:szCs w:val="24"/>
        </w:rPr>
        <w:t xml:space="preserve">Boddie v. Connecticut, 401 U.S. 371 (1971) — Fundamental rights adjudication requires meaningful opportunity to be heard.</w:t>
      </w:r>
    </w:p>
    <w:p>
      <w:pPr>
        <w:pStyle w:val="Heading2"/>
        <w:spacing w:after="160" w:before="240"/>
      </w:pPr>
      <w:r>
        <w:rPr>
          <w:rFonts w:ascii="Times New Roman" w:cs="Times New Roman" w:eastAsia="Times New Roman" w:hAnsi="Times New Roman"/>
          <w:b/>
          <w:bCs/>
          <w:sz w:val="24"/>
          <w:szCs w:val="24"/>
        </w:rPr>
        <w:t xml:space="preserve">Access to Evidence</w:t>
      </w:r>
    </w:p>
    <w:p>
      <w:pPr>
        <w:spacing w:after="200" w:line="360"/>
        <w:jc w:val="left"/>
      </w:pPr>
      <w:r>
        <w:rPr>
          <w:rFonts w:ascii="Times New Roman" w:cs="Times New Roman" w:eastAsia="Times New Roman" w:hAnsi="Times New Roman"/>
          <w:b w:val="false"/>
          <w:bCs w:val="false"/>
          <w:i w:val="false"/>
          <w:iCs w:val="false"/>
          <w:sz w:val="24"/>
          <w:szCs w:val="24"/>
        </w:rPr>
        <w:t xml:space="preserve">Goldberg v. Kelly, 397 U.S. 254 (1970) — Recipient must be allowed to see and rebut evidence used against them.</w:t>
      </w:r>
    </w:p>
    <w:p>
      <w:pPr>
        <w:spacing w:after="200" w:line="360"/>
        <w:jc w:val="left"/>
      </w:pPr>
      <w:r>
        <w:rPr>
          <w:rFonts w:ascii="Times New Roman" w:cs="Times New Roman" w:eastAsia="Times New Roman" w:hAnsi="Times New Roman"/>
          <w:b w:val="false"/>
          <w:bCs w:val="false"/>
          <w:i w:val="false"/>
          <w:iCs w:val="false"/>
          <w:sz w:val="24"/>
          <w:szCs w:val="24"/>
        </w:rPr>
        <w:t xml:space="preserve">In re Gault, 387 U.S. 1 (1967) — Due process requires notice of specific charges in proceedings affecting liberty.</w:t>
      </w:r>
    </w:p>
    <w:p>
      <w:pPr>
        <w:pStyle w:val="Heading2"/>
        <w:spacing w:after="160" w:before="240"/>
      </w:pPr>
      <w:r>
        <w:rPr>
          <w:rFonts w:ascii="Times New Roman" w:cs="Times New Roman" w:eastAsia="Times New Roman" w:hAnsi="Times New Roman"/>
          <w:b/>
          <w:bCs/>
          <w:sz w:val="24"/>
          <w:szCs w:val="24"/>
        </w:rPr>
        <w:t xml:space="preserve">Manufactured Emergency / Pretext</w:t>
      </w:r>
    </w:p>
    <w:p>
      <w:pPr>
        <w:spacing w:after="200" w:line="360"/>
        <w:jc w:val="left"/>
      </w:pPr>
      <w:r>
        <w:rPr>
          <w:rFonts w:ascii="Times New Roman" w:cs="Times New Roman" w:eastAsia="Times New Roman" w:hAnsi="Times New Roman"/>
          <w:b w:val="false"/>
          <w:bCs w:val="false"/>
          <w:i w:val="false"/>
          <w:iCs w:val="false"/>
          <w:sz w:val="24"/>
          <w:szCs w:val="24"/>
        </w:rPr>
        <w:t xml:space="preserve">Reno v. Flores, 507 U.S. 292 (1993) — Substantive due process forbids arbitrary government deprivations of liberty.</w:t>
      </w:r>
    </w:p>
    <w:p>
      <w:pPr>
        <w:spacing w:after="200" w:line="360"/>
        <w:jc w:val="left"/>
      </w:pPr>
      <w:r>
        <w:rPr>
          <w:rFonts w:ascii="Times New Roman" w:cs="Times New Roman" w:eastAsia="Times New Roman" w:hAnsi="Times New Roman"/>
          <w:b w:val="false"/>
          <w:bCs w:val="false"/>
          <w:i w:val="false"/>
          <w:iCs w:val="false"/>
          <w:sz w:val="24"/>
          <w:szCs w:val="24"/>
        </w:rPr>
        <w:t xml:space="preserve">County of Sacramento v. Lewis, 523 U.S. 833 (1998) — Conduct intended to injure without legitimate government purpose shocks the conscience.</w:t>
      </w:r>
    </w:p>
    <w:p>
      <w:pPr>
        <w:spacing w:after="200" w:line="360"/>
        <w:jc w:val="left"/>
      </w:pPr>
      <w:r>
        <w:rPr>
          <w:rFonts w:ascii="Times New Roman" w:cs="Times New Roman" w:eastAsia="Times New Roman" w:hAnsi="Times New Roman"/>
          <w:b w:val="false"/>
          <w:bCs w:val="false"/>
          <w:i w:val="false"/>
          <w:iCs w:val="false"/>
          <w:sz w:val="24"/>
          <w:szCs w:val="24"/>
        </w:rPr>
        <w:t xml:space="preserve">Franks v. Delaware, 438 U.S. 154 (1978) — Emergency authorization resting on false or misleading facts must be voided.</w:t>
      </w:r>
    </w:p>
    <w:p>
      <w:pPr>
        <w:spacing w:after="200" w:line="360"/>
        <w:jc w:val="left"/>
      </w:pPr>
      <w:r>
        <w:rPr>
          <w:rFonts w:ascii="Times New Roman" w:cs="Times New Roman" w:eastAsia="Times New Roman" w:hAnsi="Times New Roman"/>
          <w:b w:val="false"/>
          <w:bCs w:val="false"/>
          <w:i w:val="false"/>
          <w:iCs w:val="false"/>
          <w:sz w:val="24"/>
          <w:szCs w:val="24"/>
        </w:rPr>
        <w:t xml:space="preserve">Village of Arlington Heights v. Metropolitan Housing Development Corp., 429 U.S. 252 (1977) — The sequence of government decisions, including departures from normal process, is evidence of the decision's true basis.</w:t>
      </w:r>
    </w:p>
    <w:p>
      <w:pPr>
        <w:spacing w:after="200" w:line="360"/>
        <w:jc w:val="left"/>
      </w:pPr>
      <w:r>
        <w:rPr>
          <w:rFonts w:ascii="Times New Roman" w:cs="Times New Roman" w:eastAsia="Times New Roman" w:hAnsi="Times New Roman"/>
          <w:b w:val="false"/>
          <w:bCs w:val="false"/>
          <w:i w:val="false"/>
          <w:iCs w:val="false"/>
          <w:sz w:val="24"/>
          <w:szCs w:val="24"/>
        </w:rPr>
        <w:t xml:space="preserve">Mt. Healthy City School Dist. Bd. of Educ. v. Doyle, 429 U.S. 274 (1977) — Once an improper motive substantially factors into a government decision, the burden shifts to the government to show the same result regardless.</w:t>
      </w:r>
    </w:p>
    <w:p>
      <w:pPr>
        <w:pStyle w:val="Heading2"/>
        <w:spacing w:after="160" w:before="240"/>
      </w:pPr>
      <w:r>
        <w:rPr>
          <w:rFonts w:ascii="Times New Roman" w:cs="Times New Roman" w:eastAsia="Times New Roman" w:hAnsi="Times New Roman"/>
          <w:b/>
          <w:bCs/>
          <w:sz w:val="24"/>
          <w:szCs w:val="24"/>
        </w:rPr>
        <w:t xml:space="preserve">Coerced Compliance</w:t>
      </w:r>
    </w:p>
    <w:p>
      <w:pPr>
        <w:spacing w:after="200" w:line="360"/>
        <w:jc w:val="left"/>
      </w:pPr>
      <w:r>
        <w:rPr>
          <w:rFonts w:ascii="Times New Roman" w:cs="Times New Roman" w:eastAsia="Times New Roman" w:hAnsi="Times New Roman"/>
          <w:b w:val="false"/>
          <w:bCs w:val="false"/>
          <w:i w:val="false"/>
          <w:iCs w:val="false"/>
          <w:sz w:val="24"/>
          <w:szCs w:val="24"/>
        </w:rPr>
        <w:t xml:space="preserve">Lynumn v. Illinois, 372 U.S. 528 (1963) — Compliance obtained by threat to deprive parent of children is constitutionally invalid.</w:t>
      </w:r>
    </w:p>
    <w:p>
      <w:pPr>
        <w:spacing w:after="200" w:line="360"/>
        <w:jc w:val="left"/>
      </w:pPr>
      <w:r>
        <w:rPr>
          <w:rFonts w:ascii="Times New Roman" w:cs="Times New Roman" w:eastAsia="Times New Roman" w:hAnsi="Times New Roman"/>
          <w:b w:val="false"/>
          <w:bCs w:val="false"/>
          <w:i w:val="false"/>
          <w:iCs w:val="false"/>
          <w:sz w:val="24"/>
          <w:szCs w:val="24"/>
        </w:rPr>
        <w:t xml:space="preserve">Bumper v. North Carolina, 391 U.S. 543 (1968) — Consent under color of coercive authority is not voluntary.</w:t>
      </w:r>
    </w:p>
    <w:p>
      <w:pPr>
        <w:pStyle w:val="Heading2"/>
        <w:spacing w:after="160" w:before="240"/>
      </w:pPr>
      <w:r>
        <w:rPr>
          <w:rFonts w:ascii="Times New Roman" w:cs="Times New Roman" w:eastAsia="Times New Roman" w:hAnsi="Times New Roman"/>
          <w:b/>
          <w:bCs/>
          <w:sz w:val="24"/>
          <w:szCs w:val="24"/>
        </w:rPr>
        <w:t xml:space="preserve">State-Created Deprivation of Process</w:t>
      </w:r>
    </w:p>
    <w:p>
      <w:pPr>
        <w:spacing w:after="200" w:line="360"/>
        <w:jc w:val="left"/>
      </w:pPr>
      <w:r>
        <w:rPr>
          <w:rFonts w:ascii="Times New Roman" w:cs="Times New Roman" w:eastAsia="Times New Roman" w:hAnsi="Times New Roman"/>
          <w:b w:val="false"/>
          <w:bCs w:val="false"/>
          <w:i w:val="false"/>
          <w:iCs w:val="false"/>
          <w:sz w:val="24"/>
          <w:szCs w:val="24"/>
        </w:rPr>
        <w:t xml:space="preserve">Zinermon v. Burch, 494 U.S. 113 (1990) — A state cannot disclaim responsibility for a deprivation of process that flows predictably from its own officials' conduct.</w:t>
      </w:r>
    </w:p>
    <w:p>
      <w:pPr>
        <w:pStyle w:val="Heading1"/>
        <w:spacing w:after="200" w:before="300"/>
      </w:pPr>
      <w:r>
        <w:rPr>
          <w:rFonts w:ascii="Times New Roman" w:cs="Times New Roman" w:eastAsia="Times New Roman" w:hAnsi="Times New Roman"/>
          <w:b/>
          <w:bCs/>
          <w:sz w:val="26"/>
          <w:szCs w:val="26"/>
        </w:rPr>
        <w:t xml:space="preserve">RESERVATION OF RIGHTS</w:t>
      </w:r>
    </w:p>
    <w:p>
      <w:pPr>
        <w:spacing w:after="200" w:line="360"/>
        <w:jc w:val="left"/>
      </w:pPr>
      <w:r>
        <w:rPr>
          <w:rFonts w:ascii="Times New Roman" w:cs="Times New Roman" w:eastAsia="Times New Roman" w:hAnsi="Times New Roman"/>
          <w:b w:val="false"/>
          <w:bCs w:val="false"/>
          <w:i w:val="false"/>
          <w:iCs w:val="false"/>
          <w:sz w:val="24"/>
          <w:szCs w:val="24"/>
        </w:rPr>
        <w:t xml:space="preserve">I respectfully state for the record that I reserve all rights and remedies available to me under state and federal law arising from the conduct described above, including but not limited to claims under 42 U.S.C. § 1983. I am not asking this Court to adjudicate those claims today. I am asking that my objections be preserved on the record so that no future tribunal concludes I waived them.</w:t>
      </w:r>
    </w:p>
    <w:p>
      <w:pPr>
        <w:spacing w:after="100" w:before="400"/>
      </w:pPr>
      <w:r>
        <w:rPr>
          <w:rFonts w:ascii="Times New Roman" w:cs="Times New Roman" w:eastAsia="Times New Roman" w:hAnsi="Times New Roman"/>
          <w:sz w:val="24"/>
          <w:szCs w:val="24"/>
        </w:rPr>
        <w:t xml:space="preserve">Respectfully submitted,</w:t>
      </w:r>
    </w:p>
    <w:p>
      <w:pPr>
        <w:spacing w:after="100" w:before="200"/>
      </w:pPr>
      <w:r>
        <w:rPr>
          <w:rFonts w:ascii="Times New Roman" w:cs="Times New Roman" w:eastAsia="Times New Roman" w:hAnsi="Times New Roman"/>
          <w:sz w:val="24"/>
          <w:szCs w:val="24"/>
        </w:rPr>
        <w:t xml:space="preserve">_________________________________</w:t>
      </w:r>
    </w:p>
    <w:p>
      <w:pPr>
        <w:spacing w:after="200" w:line="360"/>
        <w:jc w:val="left"/>
      </w:pPr>
      <w:r>
        <w:rPr>
          <w:rFonts w:ascii="Times New Roman" w:cs="Times New Roman" w:eastAsia="Times New Roman" w:hAnsi="Times New Roman"/>
          <w:b w:val="false"/>
          <w:bCs w:val="false"/>
          <w:i w:val="false"/>
          <w:iCs w:val="false"/>
          <w:sz w:val="24"/>
          <w:szCs w:val="24"/>
        </w:rPr>
        <w:t xml:space="preserve">James Chapman</w:t>
      </w:r>
    </w:p>
    <w:p>
      <w:pPr>
        <w:spacing w:after="200" w:line="360"/>
        <w:jc w:val="left"/>
      </w:pPr>
      <w:r>
        <w:rPr>
          <w:rFonts w:ascii="Times New Roman" w:cs="Times New Roman" w:eastAsia="Times New Roman" w:hAnsi="Times New Roman"/>
          <w:b w:val="false"/>
          <w:bCs w:val="false"/>
          <w:i w:val="false"/>
          <w:iCs w:val="false"/>
          <w:sz w:val="24"/>
          <w:szCs w:val="24"/>
        </w:rPr>
        <w:t xml:space="preserve">Pro Se — Father</w:t>
      </w:r>
    </w:p>
    <w:p>
      <w:pPr>
        <w:spacing w:after="200" w:line="360"/>
        <w:jc w:val="left"/>
      </w:pPr>
      <w:r>
        <w:rPr>
          <w:rFonts w:ascii="Times New Roman" w:cs="Times New Roman" w:eastAsia="Times New Roman" w:hAnsi="Times New Roman"/>
          <w:b w:val="false"/>
          <w:bCs w:val="false"/>
          <w:i w:val="false"/>
          <w:iCs w:val="false"/>
          <w:sz w:val="24"/>
          <w:szCs w:val="24"/>
        </w:rPr>
        <w:t xml:space="preserve">Date: ___________________</w:t>
      </w:r>
    </w:p>
    <w:p>
      <w:pPr>
        <w:pBdr>
          <w:top w:val="single" w:color="999999" w:sz="6" w:space="4"/>
        </w:pBdr>
        <w:spacing w:before="300"/>
      </w:pPr>
      <w:r>
        <w:rPr>
          <w:rFonts w:ascii="Times New Roman" w:cs="Times New Roman" w:eastAsia="Times New Roman" w:hAnsi="Times New Roman"/>
          <w:i/>
          <w:iCs/>
          <w:sz w:val="20"/>
          <w:szCs w:val="20"/>
        </w:rPr>
        <w:t xml:space="preserve">CONTROLLING AUTHORITIES · Mathews v. Eldridge, 424 U.S. 319 (1976) · Santosky v. Kramer, 455 U.S. 745 (1982) · Stanley v. Illinois, 405 U.S. 645 (1972) · Troxel v. Granville, 530 U.S. 57 (2000) · Goldberg v. Kelly, 397 U.S. 254 (1970) · Mullane v. Central Hanover Bank, 339 U.S. 306 (1950) · Reno v. Flores, 507 U.S. 292 (1993) · Armstrong v. Manzo, 380 U.S. 545 (1965) · Boddie v. Connecticut, 401 U.S. 371 (1971) · Lynumn v. Illinois, 372 U.S. 528 (1963) · Bumper v. North Carolina, 391 U.S. 543 (1968) · Village of Arlington Heights v. Metropolitan Housing Dev. Corp., 429 U.S. 252 (1977) · Mt. Healthy City School Dist. Bd. of Educ. v. Doyle, 429 U.S. 274 (1977) · Zinermon v. Burch, 494 U.S. 113 (1990) · Franks v. Delaware, 438 U.S. 154 (1978) · In re Gault, 387 U.S. 1 (1967) · County of Sacramento v. Lewis, 523 U.S. 833 (1998) · 42 U.S.C. § 1983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2026-06-30T01:55:52.956Z</dcterms:created>
  <dcterms:modified xsi:type="dcterms:W3CDTF">2026-06-30T01:55:52.971Z</dcterms:modified>
</cp:coreProperties>
</file>

<file path=docProps/custom.xml><?xml version="1.0" encoding="utf-8"?>
<Properties xmlns="http://schemas.openxmlformats.org/officeDocument/2006/custom-properties" xmlns:vt="http://schemas.openxmlformats.org/officeDocument/2006/docPropsVTypes"/>
</file>