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rFonts w:ascii="Arial" w:cs="Arial" w:eastAsia="Arial" w:hAnsi="Arial"/>
          <w:b/>
          <w:bCs/>
          <w:sz w:val="24"/>
          <w:szCs w:val="24"/>
        </w:rPr>
        <w:t xml:space="preserve">Your Honor,</w:t>
      </w:r>
    </w:p>
    <w:p>
      <w:pPr>
        <w:spacing w:after="80"/>
      </w:pPr>
      <w:r>
        <w:rPr>
          <w:rFonts w:ascii="Arial" w:cs="Arial" w:eastAsia="Arial" w:hAnsi="Arial"/>
          <w:sz w:val="24"/>
          <w:szCs w:val="24"/>
        </w:rPr>
        <w:t xml:space="preserve"/>
      </w:r>
    </w:p>
    <w:p>
      <w:pPr>
        <w:spacing w:after="180"/>
      </w:pPr>
      <w:r>
        <w:rPr>
          <w:rFonts w:ascii="Arial" w:cs="Arial" w:eastAsia="Arial" w:hAnsi="Arial"/>
          <w:sz w:val="24"/>
          <w:szCs w:val="24"/>
        </w:rPr>
        <w:t xml:space="preserve">My name is James Chapman. I am the father of these children. I appear today without counsel, without having been properly served, and without having had any meaningful opportunity to participate in the proceedings that resulted in my children being removed from my care. I am asking this Court to dismiss this petition.</w:t>
      </w:r>
    </w:p>
    <w:p>
      <w:pPr>
        <w:spacing w:after="180"/>
      </w:pPr>
      <w:r>
        <w:rPr>
          <w:rFonts w:ascii="Arial" w:cs="Arial" w:eastAsia="Arial" w:hAnsi="Arial"/>
          <w:sz w:val="24"/>
          <w:szCs w:val="24"/>
        </w:rPr>
        <w:t xml:space="preserve">I am not asking the Court to take my word for any of this. I am asking the Court to follow the State's own facts, in sequence, to their logical conclusion. When examined in order, those facts do not just suggest due process violations — they prove them. More than that, they demonstrate that the State's own conduct eliminated the very danger it claimed justified emergency removal.</w:t>
      </w:r>
    </w:p>
    <w:p>
      <w:pPr>
        <w:spacing w:after="80"/>
      </w:pPr>
      <w:r>
        <w:rPr>
          <w:rFonts w:ascii="Arial" w:cs="Arial" w:eastAsia="Arial" w:hAnsi="Arial"/>
          <w:sz w:val="24"/>
          <w:szCs w:val="24"/>
        </w:rPr>
        <w:t xml:space="preserve"/>
      </w:r>
    </w:p>
    <w:p>
      <w:pPr>
        <w:pStyle w:val="Heading1"/>
        <w:pBdr>
          <w:bottom w:val="single" w:color="222222" w:sz="4" w:space="4"/>
        </w:pBdr>
        <w:spacing w:after="160" w:before="360"/>
      </w:pPr>
      <w:r>
        <w:rPr>
          <w:rFonts w:ascii="Arial" w:cs="Arial" w:eastAsia="Arial" w:hAnsi="Arial"/>
          <w:b/>
          <w:bCs/>
          <w:sz w:val="26"/>
          <w:szCs w:val="26"/>
        </w:rPr>
        <w:t xml:space="preserve">I. THE FACTUAL RECORD — IN SEQUENCE</w:t>
      </w:r>
    </w:p>
    <w:p>
      <w:pPr>
        <w:spacing w:after="180"/>
      </w:pPr>
      <w:r>
        <w:rPr>
          <w:rFonts w:ascii="Arial" w:cs="Arial" w:eastAsia="Arial" w:hAnsi="Arial"/>
          <w:b/>
          <w:bCs/>
          <w:sz w:val="24"/>
          <w:szCs w:val="24"/>
        </w:rPr>
        <w:t xml:space="preserve">Friday:</w:t>
      </w:r>
      <w:r>
        <w:rPr>
          <w:rFonts w:ascii="Arial" w:cs="Arial" w:eastAsia="Arial" w:hAnsi="Arial"/>
          <w:sz w:val="24"/>
          <w:szCs w:val="24"/>
        </w:rPr>
        <w:t xml:space="preserve"> My wife was arrested for domestic assault. I was left at home with our children. No agency intervened. No emergency was declared. The children were in my care.</w:t>
      </w:r>
    </w:p>
    <w:p>
      <w:pPr>
        <w:spacing w:after="180"/>
      </w:pPr>
      <w:r>
        <w:rPr>
          <w:rFonts w:ascii="Arial" w:cs="Arial" w:eastAsia="Arial" w:hAnsi="Arial"/>
          <w:b/>
          <w:bCs/>
          <w:sz w:val="24"/>
          <w:szCs w:val="24"/>
        </w:rPr>
        <w:t xml:space="preserve">Friday through Monday at noon — approximately 72 hours:</w:t>
      </w:r>
      <w:r>
        <w:rPr>
          <w:rFonts w:ascii="Arial" w:cs="Arial" w:eastAsia="Arial" w:hAnsi="Arial"/>
          <w:sz w:val="24"/>
          <w:szCs w:val="24"/>
        </w:rPr>
        <w:t xml:space="preserve"> The children remained safely in my care. The Department of Human Services made no contact, sought no court order, and took no emergency action. For three full days, the State was aware of the situation and did nothing — because there was nothing requiring immediate action.</w:t>
      </w:r>
    </w:p>
    <w:p>
      <w:pPr>
        <w:spacing w:after="180"/>
      </w:pPr>
      <w:r>
        <w:rPr>
          <w:rFonts w:ascii="Arial" w:cs="Arial" w:eastAsia="Arial" w:hAnsi="Arial"/>
          <w:b/>
          <w:bCs/>
          <w:sz w:val="24"/>
          <w:szCs w:val="24"/>
        </w:rPr>
        <w:t xml:space="preserve">Monday, approximately noon:</w:t>
      </w:r>
      <w:r>
        <w:rPr>
          <w:rFonts w:ascii="Arial" w:cs="Arial" w:eastAsia="Arial" w:hAnsi="Arial"/>
          <w:sz w:val="24"/>
          <w:szCs w:val="24"/>
        </w:rPr>
        <w:t xml:space="preserve"> HHS and a police officer arrived at my home. I was told that if I did not submit to a urinalysis immediately, they would file to remove my children. I did not consent freely — I complied under explicit coercive threat to preserve my family.</w:t>
      </w:r>
    </w:p>
    <w:p>
      <w:pPr>
        <w:spacing w:after="180"/>
      </w:pPr>
      <w:r>
        <w:rPr>
          <w:rFonts w:ascii="Arial" w:cs="Arial" w:eastAsia="Arial" w:hAnsi="Arial"/>
          <w:b/>
          <w:bCs/>
          <w:sz w:val="24"/>
          <w:szCs w:val="24"/>
        </w:rPr>
        <w:t xml:space="preserve">The UA collection:</w:t>
      </w:r>
      <w:r>
        <w:rPr>
          <w:rFonts w:ascii="Arial" w:cs="Arial" w:eastAsia="Arial" w:hAnsi="Arial"/>
          <w:sz w:val="24"/>
          <w:szCs w:val="24"/>
        </w:rPr>
        <w:t xml:space="preserve"> I urinated outside while observed by a police officer. Immediately upon completing the sample, I observed visible contamination — floating material in the container. I raised this concern on the spot. The officer present acknowledged what I was pointing to. Because I disputed the integrity of the sample, I did not sign certifying or acknowledging it. I never accepted that test as valid.</w:t>
      </w:r>
    </w:p>
    <w:p>
      <w:pPr>
        <w:spacing w:after="180"/>
      </w:pPr>
      <w:r>
        <w:rPr>
          <w:rFonts w:ascii="Arial" w:cs="Arial" w:eastAsia="Arial" w:hAnsi="Arial"/>
          <w:b/>
          <w:bCs/>
          <w:sz w:val="24"/>
          <w:szCs w:val="24"/>
        </w:rPr>
        <w:t xml:space="preserve">Body camera — on the record:</w:t>
      </w:r>
      <w:r>
        <w:rPr>
          <w:rFonts w:ascii="Arial" w:cs="Arial" w:eastAsia="Arial" w:hAnsi="Arial"/>
          <w:sz w:val="24"/>
          <w:szCs w:val="24"/>
        </w:rPr>
        <w:t xml:space="preserve"> During this encounter, I specifically asked the officer whether his body-worn camera was recording. He told me it was. Based on that representation, I believe the entire interaction — including my immediate objection to the urinalysis sample, the officer's acknowledgment of the visible contamination, and the subsequent discussion about the DNCO and the children's placement — was captured on video.</w:t>
      </w:r>
    </w:p>
    <w:p>
      <w:pPr>
        <w:spacing w:after="180"/>
      </w:pPr>
      <w:r>
        <w:rPr>
          <w:rFonts w:ascii="Arial" w:cs="Arial" w:eastAsia="Arial" w:hAnsi="Arial"/>
          <w:b/>
          <w:bCs/>
          <w:sz w:val="24"/>
          <w:szCs w:val="24"/>
        </w:rPr>
        <w:t xml:space="preserve">The officer was also operating under the same representation:</w:t>
      </w:r>
      <w:r>
        <w:rPr>
          <w:rFonts w:ascii="Arial" w:cs="Arial" w:eastAsia="Arial" w:hAnsi="Arial"/>
          <w:sz w:val="24"/>
          <w:szCs w:val="24"/>
        </w:rPr>
        <w:t xml:space="preserve"> It is my understanding that the officer participated in the DNCO verification in good faith — checking whether the order covered the children because that is what the situation called for if the children were staying home. I want to be clear: I am not suggesting the officer intentionally misled me. Based on my interactions with him, I believe he was operating under the same understanding I was — that the children would remain home with their mother if I left. I am giving him the benefit of the doubt because I have no reason to believe he would have knowingly participated in misleading me. What I believe is more likely is that he too was not informed of the Department's true intentions until after I had already left. If that is the case, he was also kept in the dark — used to verify a legal arrangement that the Department never intended to honor. That does not change what he communicated to me, and it does not change what I relied on. It does, however, place the source of the deception squarely with the Department, not the officer in the field.</w:t>
      </w:r>
    </w:p>
    <w:p>
      <w:pPr>
        <w:spacing w:after="180"/>
      </w:pPr>
      <w:r>
        <w:rPr>
          <w:rFonts w:ascii="Arial" w:cs="Arial" w:eastAsia="Arial" w:hAnsi="Arial"/>
          <w:b/>
          <w:bCs/>
          <w:sz w:val="24"/>
          <w:szCs w:val="24"/>
        </w:rPr>
        <w:t xml:space="preserve">Why this matters:</w:t>
      </w:r>
      <w:r>
        <w:rPr>
          <w:rFonts w:ascii="Arial" w:cs="Arial" w:eastAsia="Arial" w:hAnsi="Arial"/>
          <w:sz w:val="24"/>
          <w:szCs w:val="24"/>
        </w:rPr>
        <w:t xml:space="preserve"> The body camera footage from before that moment captures the encounter as it was actually represented to everyone present: a situation in which I would leave, my wife would stay, and the children would remain home. The change in plan — the hold — was communicated only after the conditions for my departure had already been established. If the footage has since been altered or is now claimed to be unavailable, the timing of that change in status is directly relevant to what the Department knew and when. I am requesting immediate judicial preservation of all body camera footage before any opportunity to modify or destroy it passes.</w:t>
      </w:r>
    </w:p>
    <w:p>
      <w:pPr>
        <w:spacing w:after="180"/>
      </w:pPr>
      <w:r>
        <w:rPr>
          <w:rFonts w:ascii="Arial" w:cs="Arial" w:eastAsia="Arial" w:hAnsi="Arial"/>
          <w:b/>
          <w:bCs/>
          <w:sz w:val="24"/>
          <w:szCs w:val="24"/>
        </w:rPr>
        <w:t xml:space="preserve">After the disputed UA:</w:t>
      </w:r>
      <w:r>
        <w:rPr>
          <w:rFonts w:ascii="Arial" w:cs="Arial" w:eastAsia="Arial" w:hAnsi="Arial"/>
          <w:sz w:val="24"/>
          <w:szCs w:val="24"/>
        </w:rPr>
        <w:t xml:space="preserve"> The Department informed me there was a Domestic No Contact Order that prevented my wife from being present with me. I asked whether she could come to the home to be with the children if I voluntarily left — so that my children would remain in their home with a parent. The Department said they needed to check. They left to verify. They came back and confirmed: the DNCO did not apply to the children. My wife could be with them. They told me she was coming and that I needed to leave when she arrived.</w:t>
      </w:r>
    </w:p>
    <w:p>
      <w:pPr>
        <w:spacing w:after="180"/>
      </w:pPr>
      <w:r>
        <w:rPr>
          <w:rFonts w:ascii="Arial" w:cs="Arial" w:eastAsia="Arial" w:hAnsi="Arial"/>
          <w:b/>
          <w:bCs/>
          <w:sz w:val="24"/>
          <w:szCs w:val="24"/>
        </w:rPr>
        <w:t xml:space="preserve">What that verification proves:</w:t>
      </w:r>
      <w:r>
        <w:rPr>
          <w:rFonts w:ascii="Arial" w:cs="Arial" w:eastAsia="Arial" w:hAnsi="Arial"/>
          <w:sz w:val="24"/>
          <w:szCs w:val="24"/>
        </w:rPr>
        <w:t xml:space="preserve"> The Department's decision to check whether the DNCO covered the children is only meaningful if the children staying home was the actual plan at that moment. The officer who conducted that verification did so in good faith — because he too understood that to be the arrangement. There is no other reason to investigate that legal question. If removal was already the plan regardless of what I did or agreed to, there was no reason to verify the DNCO scope at all. The Department sent an officer to confirm a legal basis for a representation they did not intend to honor. That officer acted on it honestly. The representation was false from the moment it was made.</w:t>
      </w:r>
    </w:p>
    <w:p>
      <w:pPr>
        <w:spacing w:after="180"/>
      </w:pPr>
      <w:r>
        <w:rPr>
          <w:rFonts w:ascii="Arial" w:cs="Arial" w:eastAsia="Arial" w:hAnsi="Arial"/>
          <w:b/>
          <w:bCs/>
          <w:sz w:val="24"/>
          <w:szCs w:val="24"/>
        </w:rPr>
        <w:t xml:space="preserve">This is the critical moment:</w:t>
      </w:r>
      <w:r>
        <w:rPr>
          <w:rFonts w:ascii="Arial" w:cs="Arial" w:eastAsia="Arial" w:hAnsi="Arial"/>
          <w:sz w:val="24"/>
          <w:szCs w:val="24"/>
        </w:rPr>
        <w:t xml:space="preserve"> I did not abandon my children. I did not flee. I left my children at home with their mother, based on an explicit, verified representation by the Department that this arrangement was lawful and that my children would remain home. I left because I was told to — after the Department confirmed it was lawful for me to do so. I had no reason to believe my children would be removed. I had every reason, based on what the Department told me, to believe they would not be.</w:t>
      </w:r>
    </w:p>
    <w:p>
      <w:pPr>
        <w:spacing w:after="180"/>
      </w:pPr>
      <w:r>
        <w:rPr>
          <w:rFonts w:ascii="Arial" w:cs="Arial" w:eastAsia="Arial" w:hAnsi="Arial"/>
          <w:b/>
          <w:bCs/>
          <w:sz w:val="24"/>
          <w:szCs w:val="24"/>
        </w:rPr>
        <w:t xml:space="preserve">What actually happened when I left:</w:t>
      </w:r>
      <w:r>
        <w:rPr>
          <w:rFonts w:ascii="Arial" w:cs="Arial" w:eastAsia="Arial" w:hAnsi="Arial"/>
          <w:sz w:val="24"/>
          <w:szCs w:val="24"/>
        </w:rPr>
        <w:t xml:space="preserve"> I was never told a hold was being filed. I was told my wife was there and I needed to leave because of the no contact order between us. I left. I believed my children were home with their mother under the arrangement the Department had described and the officer had helped verify. I did not know a hold had been placed. I did not know my children had been removed. I found out after the fact — the same way I found out about the petition, the hearing, and the court orders. I was not informed of any of it.</w:t>
      </w:r>
    </w:p>
    <w:p>
      <w:pPr>
        <w:spacing w:after="180"/>
      </w:pPr>
      <w:r>
        <w:rPr>
          <w:rFonts w:ascii="Arial" w:cs="Arial" w:eastAsia="Arial" w:hAnsi="Arial"/>
          <w:b/>
          <w:bCs/>
          <w:sz w:val="24"/>
          <w:szCs w:val="24"/>
        </w:rPr>
        <w:t xml:space="preserve">What the Department did after I left:</w:t>
      </w:r>
      <w:r>
        <w:rPr>
          <w:rFonts w:ascii="Arial" w:cs="Arial" w:eastAsia="Arial" w:hAnsi="Arial"/>
          <w:sz w:val="24"/>
          <w:szCs w:val="24"/>
        </w:rPr>
        <w:t xml:space="preserve"> With me gone, and my children in the home with their mother and no restrictions in place, the Department filed a 72-hour emergency hold citing the contested urinalysis as the basis for imminent danger. They did this without telling me. Without serving me. Without any prior judicial authorization. And they did it in a situation where the person the UA belonged to — the person they would claim was the danger — was no longer present.</w:t>
      </w:r>
    </w:p>
    <w:p>
      <w:pPr>
        <w:spacing w:after="180"/>
      </w:pPr>
      <w:r>
        <w:rPr>
          <w:rFonts w:ascii="Arial" w:cs="Arial" w:eastAsia="Arial" w:hAnsi="Arial"/>
          <w:b/>
          <w:bCs/>
          <w:sz w:val="24"/>
          <w:szCs w:val="24"/>
        </w:rPr>
        <w:t xml:space="preserve">The 72-hour hearing:</w:t>
      </w:r>
      <w:r>
        <w:rPr>
          <w:rFonts w:ascii="Arial" w:cs="Arial" w:eastAsia="Arial" w:hAnsi="Arial"/>
          <w:sz w:val="24"/>
          <w:szCs w:val="24"/>
        </w:rPr>
        <w:t xml:space="preserve"> That hearing occurred without me. I was not served before it. I was not notified it was happening. Because I was subject to a no-contact order at my own home and had no fixed address, I had no place at which to be served. The Department made no meaningful effort to locate or serve me before a hearing that determined the continued removal of my children. The Court maintained the hold. Additional constraints were requested by HHS — and the Court declined to impose them, a fact that itself reflects the Court's recognition that the Department's position was not fully supported.</w:t>
      </w:r>
    </w:p>
    <w:p>
      <w:pPr>
        <w:spacing w:after="180"/>
      </w:pPr>
      <w:r>
        <w:rPr>
          <w:rFonts w:ascii="Arial" w:cs="Arial" w:eastAsia="Arial" w:hAnsi="Arial"/>
          <w:b/>
          <w:bCs/>
          <w:sz w:val="24"/>
          <w:szCs w:val="24"/>
        </w:rPr>
        <w:t xml:space="preserve">Since then:</w:t>
      </w:r>
      <w:r>
        <w:rPr>
          <w:rFonts w:ascii="Arial" w:cs="Arial" w:eastAsia="Arial" w:hAnsi="Arial"/>
          <w:sz w:val="24"/>
          <w:szCs w:val="24"/>
        </w:rPr>
        <w:t xml:space="preserve"> I have not been properly served. I was informed only recently that personnel came looking for me. I have not seen the petition, the affidavits, the laboratory records, the safety assessments, or any other document filed in this matter. I appeared today because I was told I have a court date. I do not yet have the papers.</w:t>
      </w:r>
    </w:p>
    <w:p>
      <w:pPr>
        <w:spacing w:after="80"/>
      </w:pPr>
      <w:r>
        <w:rPr>
          <w:rFonts w:ascii="Arial" w:cs="Arial" w:eastAsia="Arial" w:hAnsi="Arial"/>
          <w:sz w:val="24"/>
          <w:szCs w:val="24"/>
        </w:rPr>
        <w:t xml:space="preserve"/>
      </w:r>
    </w:p>
    <w:p>
      <w:pPr>
        <w:pStyle w:val="Heading1"/>
        <w:pBdr>
          <w:bottom w:val="single" w:color="222222" w:sz="4" w:space="4"/>
        </w:pBdr>
        <w:spacing w:after="160" w:before="360"/>
      </w:pPr>
      <w:r>
        <w:rPr>
          <w:rFonts w:ascii="Arial" w:cs="Arial" w:eastAsia="Arial" w:hAnsi="Arial"/>
          <w:b/>
          <w:bCs/>
          <w:sz w:val="26"/>
          <w:szCs w:val="26"/>
        </w:rPr>
        <w:t xml:space="preserve">II. THE STATE'S CONDUCT VIOLATES THE FOURTEENTH AMENDMENT — FIVE WAYS, ALL PROVEN BY THE DEPARTMENT'S OWN ACTIONS</w:t>
      </w:r>
    </w:p>
    <w:p>
      <w:pPr>
        <w:spacing w:after="180"/>
      </w:pPr>
      <w:r>
        <w:rPr>
          <w:rFonts w:ascii="Arial" w:cs="Arial" w:eastAsia="Arial" w:hAnsi="Arial"/>
          <w:sz w:val="24"/>
          <w:szCs w:val="24"/>
        </w:rPr>
        <w:t xml:space="preserve">The Due Process Clause of the Fourteenth Amendment requires, at minimum: notice before deprivation, access to the evidence being used, a meaningful opportunity to respond, and timely judicial review. The State violated every one of these requirements. Critically, each violation is not independent — they are interlocking. The facts that prove one violation also expose the next.</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Violation One — No Notice Before Action</w:t>
      </w:r>
    </w:p>
    <w:p>
      <w:pPr>
        <w:spacing w:after="180"/>
      </w:pPr>
      <w:r>
        <w:rPr>
          <w:rFonts w:ascii="Arial" w:cs="Arial" w:eastAsia="Arial" w:hAnsi="Arial"/>
          <w:sz w:val="24"/>
          <w:szCs w:val="24"/>
        </w:rPr>
        <w:t xml:space="preserve">I was not served with the petition, the affidavits, or any supporting document before the Department sought or obtained emergency custody of my children. I was not notified that a 72-hour hearing was scheduled. I did not know it had occurred until after the fact.</w:t>
      </w:r>
    </w:p>
    <w:p>
      <w:pPr>
        <w:spacing w:after="180"/>
      </w:pPr>
      <w:r>
        <w:rPr>
          <w:rFonts w:ascii="Arial" w:cs="Arial" w:eastAsia="Arial" w:hAnsi="Arial"/>
          <w:sz w:val="24"/>
          <w:szCs w:val="24"/>
        </w:rPr>
        <w:t xml:space="preserve">The Constitution requires notice reasonably calculated to inform a parent that a proceeding is happening, so they may appear and be heard. That did not happen. The Department knew I had been removed from my home by their own instruction. They knew I had no fixed address as a result. They made no meaningful effort to serve me before the hearing that extended the removal of my children.</w:t>
      </w:r>
    </w:p>
    <w:p>
      <w:pPr>
        <w:spacing w:after="180"/>
      </w:pPr>
      <w:r>
        <w:rPr>
          <w:rFonts w:ascii="Arial" w:cs="Arial" w:eastAsia="Arial" w:hAnsi="Arial"/>
          <w:b/>
          <w:bCs/>
          <w:sz w:val="24"/>
          <w:szCs w:val="24"/>
        </w:rPr>
        <w:t xml:space="preserve">The Department's own conduct caused the very condition it then used to proceed without me.</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Violation Two — No Opportunity to Be Heard</w:t>
      </w:r>
    </w:p>
    <w:p>
      <w:pPr>
        <w:spacing w:after="180"/>
      </w:pPr>
      <w:r>
        <w:rPr>
          <w:rFonts w:ascii="Arial" w:cs="Arial" w:eastAsia="Arial" w:hAnsi="Arial"/>
          <w:sz w:val="24"/>
          <w:szCs w:val="24"/>
        </w:rPr>
        <w:t xml:space="preserve">The 72-hour hearing — the proceeding specifically designed to test whether emergency removal is justified — took place without me. I had no counsel, no notice, and no opportunity to present my version of the facts. The Department proceeded as if I did not exist.</w:t>
      </w:r>
    </w:p>
    <w:p>
      <w:pPr>
        <w:spacing w:after="180"/>
      </w:pPr>
      <w:r>
        <w:rPr>
          <w:rFonts w:ascii="Arial" w:cs="Arial" w:eastAsia="Arial" w:hAnsi="Arial"/>
          <w:sz w:val="24"/>
          <w:szCs w:val="24"/>
        </w:rPr>
        <w:t xml:space="preserve">This Court noted the absence at that hearing by declining to impose the additional constraints HHS requested. That refusal matters beyond procedure. The Department knew — because their own actions created it — that I had been removed from my home, had no fixed address, and had not been served. They sought expanded court orders at a hearing they knew I could not attend and had no knowledge of. Requesting additional constraints on a parent who is absent because you made him unreachable is not an oversight. It is an attempt to obtain orders that could not survive adversarial scrutiny, at a moment specifically created by the Department's own conduct to prevent that scrutiny.</w:t>
      </w:r>
    </w:p>
    <w:p>
      <w:pPr>
        <w:spacing w:after="180"/>
      </w:pPr>
      <w:r>
        <w:rPr>
          <w:rFonts w:ascii="Arial" w:cs="Arial" w:eastAsia="Arial" w:hAnsi="Arial"/>
          <w:b/>
          <w:bCs/>
          <w:sz w:val="24"/>
          <w:szCs w:val="24"/>
        </w:rPr>
        <w:t xml:space="preserve">A hearing I cannot attend because I was never told it was happening is not a hearing. It is a proceeding conducted against me in secret — and the attempt to expand restrictions at that hearing, knowing I was absent and why, makes the constitutional violation worse, not better.</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Violation Three — Decision Made Without Access to the Evidence</w:t>
      </w:r>
    </w:p>
    <w:p>
      <w:pPr>
        <w:spacing w:after="180"/>
      </w:pPr>
      <w:r>
        <w:rPr>
          <w:rFonts w:ascii="Arial" w:cs="Arial" w:eastAsia="Arial" w:hAnsi="Arial"/>
          <w:sz w:val="24"/>
          <w:szCs w:val="24"/>
        </w:rPr>
        <w:t xml:space="preserve">I have not been provided with a single document filed in this case. I cannot see the petition. I cannot see the affidavits. I cannot see what the Department told this Court to obtain the emergency hold. I cannot review the laboratory records for a test I immediately disputed.</w:t>
      </w:r>
    </w:p>
    <w:p>
      <w:pPr>
        <w:spacing w:after="180"/>
      </w:pPr>
      <w:r>
        <w:rPr>
          <w:rFonts w:ascii="Arial" w:cs="Arial" w:eastAsia="Arial" w:hAnsi="Arial"/>
          <w:sz w:val="24"/>
          <w:szCs w:val="24"/>
        </w:rPr>
        <w:t xml:space="preserve">Due process requires that a person be able to see and respond to the evidence being used against them. I have been denied that entirely. This is not a technicality — it is the core of what due process means. The right to be heard is meaningless if you cannot see what you are defending against.</w:t>
      </w:r>
    </w:p>
    <w:p>
      <w:pPr>
        <w:spacing w:after="180"/>
      </w:pPr>
      <w:r>
        <w:rPr>
          <w:rFonts w:ascii="Arial" w:cs="Arial" w:eastAsia="Arial" w:hAnsi="Arial"/>
          <w:sz w:val="24"/>
          <w:szCs w:val="24"/>
        </w:rPr>
        <w:t xml:space="preserve">I note also that the petition contains material errors in the most basic identifying information. My son's name is Brian James Chapman. The Department filed a petition identifying him as Brian James Chapman Jr. — he is not a junior. That designation does not exist. The Department created a legal filing about a child who does not exist under that name. Additionally, the date of birth listed for me in these proceedings is not my date of birth. It is my wife's. The Department cannot correctly identify the two adults at the center of this case in their own paperwork.</w:t>
      </w:r>
    </w:p>
    <w:p>
      <w:pPr>
        <w:spacing w:after="180"/>
      </w:pPr>
      <w:r>
        <w:rPr>
          <w:rFonts w:ascii="Arial" w:cs="Arial" w:eastAsia="Arial" w:hAnsi="Arial"/>
          <w:sz w:val="24"/>
          <w:szCs w:val="24"/>
        </w:rPr>
        <w:t xml:space="preserve">I am not raising these errors to make a technical argument. I am raising them because they are almost unbelievable in their basic nature. Getting a child's legal name wrong. Assigning one parent's birthday to the other. These are not difficult facts to verify. If the Department cannot accurately identify the people in this case before filing, the Court should weigh carefully what standard of care governed everything else — the UA collection, the DNCO representation, the decision to file a hold, the failure to serve me before the 72-hour hearing. The errors do not stand alone. They fit a pattern of conduct in which accuracy, verification, and constitutional requirements were all treated as optional.</w:t>
      </w:r>
    </w:p>
    <w:p>
      <w:pPr>
        <w:spacing w:after="180"/>
      </w:pPr>
      <w:r>
        <w:rPr>
          <w:rFonts w:ascii="Arial" w:cs="Arial" w:eastAsia="Arial" w:hAnsi="Arial"/>
          <w:sz w:val="24"/>
          <w:szCs w:val="24"/>
        </w:rPr>
        <w:t xml:space="preserve">I would also note for the record: on Friday, my wife was arrested for domestic assault. I was the victim. By Monday, the Department arrived at my door, coerced a urinalysis under threat of losing my children, manipulated me into leaving my home, and then filed an emergency hold against me — the same person the system existed to protect four days earlier. The Department's own records from Friday establish me as the non-offending parent. Their conduct by Monday treated me as the threat. That contradiction is in their own files.</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Violation Four — Emergency Power Invoked After the Emergency Was Gone</w:t>
      </w:r>
    </w:p>
    <w:p>
      <w:pPr>
        <w:spacing w:after="180"/>
      </w:pPr>
      <w:r>
        <w:rPr>
          <w:rFonts w:ascii="Arial" w:cs="Arial" w:eastAsia="Arial" w:hAnsi="Arial"/>
          <w:sz w:val="24"/>
          <w:szCs w:val="24"/>
        </w:rPr>
        <w:t xml:space="preserve">This is where the State's own logic collapses entirely.</w:t>
      </w:r>
    </w:p>
    <w:p>
      <w:pPr>
        <w:spacing w:after="180"/>
      </w:pPr>
      <w:r>
        <w:rPr>
          <w:rFonts w:ascii="Arial" w:cs="Arial" w:eastAsia="Arial" w:hAnsi="Arial"/>
          <w:sz w:val="24"/>
          <w:szCs w:val="24"/>
        </w:rPr>
        <w:t xml:space="preserve">The Department claims the urinalysis established imminent danger justifying emergency removal. That is the only stated basis for the hold. But consider what that argument requires the Court to accept:</w:t>
      </w:r>
    </w:p>
    <w:p>
      <w:pPr>
        <w:pStyle w:val="ListParagraph"/>
        <w:numPr>
          <w:ilvl w:val="0"/>
          <w:numId w:val="2"/>
        </w:numPr>
        <w:spacing w:after="160"/>
      </w:pPr>
      <w:r>
        <w:rPr>
          <w:rFonts w:ascii="Arial" w:cs="Arial" w:eastAsia="Arial" w:hAnsi="Arial"/>
          <w:sz w:val="24"/>
          <w:szCs w:val="24"/>
        </w:rPr>
        <w:t xml:space="preserve">The UA was obtained under coercive threat — comply or lose your children.</w:t>
      </w:r>
    </w:p>
    <w:p>
      <w:pPr>
        <w:pStyle w:val="ListParagraph"/>
        <w:numPr>
          <w:ilvl w:val="0"/>
          <w:numId w:val="2"/>
        </w:numPr>
        <w:spacing w:after="160"/>
      </w:pPr>
      <w:r>
        <w:rPr>
          <w:rFonts w:ascii="Arial" w:cs="Arial" w:eastAsia="Arial" w:hAnsi="Arial"/>
          <w:sz w:val="24"/>
          <w:szCs w:val="24"/>
        </w:rPr>
        <w:t xml:space="preserve">I immediately disputed the sample. Visible contamination was present. The officer acknowledged it. I never signed certifying it. I never accepted it as valid.</w:t>
      </w:r>
    </w:p>
    <w:p>
      <w:pPr>
        <w:pStyle w:val="ListParagraph"/>
        <w:numPr>
          <w:ilvl w:val="0"/>
          <w:numId w:val="2"/>
        </w:numPr>
        <w:spacing w:after="160"/>
      </w:pPr>
      <w:r>
        <w:rPr>
          <w:rFonts w:ascii="Arial" w:cs="Arial" w:eastAsia="Arial" w:hAnsi="Arial"/>
          <w:sz w:val="24"/>
          <w:szCs w:val="24"/>
        </w:rPr>
        <w:t xml:space="preserve">The Department then directed me to leave, having verified through the officer that the DNCO did not cover the children and that my wife could be with them.</w:t>
      </w:r>
    </w:p>
    <w:p>
      <w:pPr>
        <w:pStyle w:val="ListParagraph"/>
        <w:numPr>
          <w:ilvl w:val="0"/>
          <w:numId w:val="2"/>
        </w:numPr>
        <w:spacing w:after="160"/>
      </w:pPr>
      <w:r>
        <w:rPr>
          <w:rFonts w:ascii="Arial" w:cs="Arial" w:eastAsia="Arial" w:hAnsi="Arial"/>
          <w:sz w:val="24"/>
          <w:szCs w:val="24"/>
        </w:rPr>
        <w:t xml:space="preserve">I left. I was never told a hold was being filed. I believed my children were home with their mother. I found out about the hold, the removal, the petition, and the hearing after the fact — the same way I found out about everything else in this case.</w:t>
      </w:r>
    </w:p>
    <w:p>
      <w:pPr>
        <w:pStyle w:val="ListParagraph"/>
        <w:numPr>
          <w:ilvl w:val="0"/>
          <w:numId w:val="2"/>
        </w:numPr>
        <w:spacing w:after="160"/>
      </w:pPr>
      <w:r>
        <w:rPr>
          <w:rFonts w:ascii="Arial" w:cs="Arial" w:eastAsia="Arial" w:hAnsi="Arial"/>
          <w:sz w:val="24"/>
          <w:szCs w:val="24"/>
        </w:rPr>
        <w:t xml:space="preserve">After I left, with my children now in the home with their mother and no court-imposed restrictions on anyone present, the Department filed an emergency hold citing the UA as the basis for imminent danger to the children.</w:t>
      </w:r>
    </w:p>
    <w:p>
      <w:pPr>
        <w:spacing w:after="80"/>
      </w:pPr>
      <w:r>
        <w:rPr>
          <w:rFonts w:ascii="Arial" w:cs="Arial" w:eastAsia="Arial" w:hAnsi="Arial"/>
          <w:sz w:val="24"/>
          <w:szCs w:val="24"/>
        </w:rPr>
        <w:t xml:space="preserve"/>
      </w:r>
    </w:p>
    <w:p>
      <w:pPr>
        <w:spacing w:after="180"/>
      </w:pPr>
      <w:r>
        <w:rPr>
          <w:rFonts w:ascii="Arial" w:cs="Arial" w:eastAsia="Arial" w:hAnsi="Arial"/>
          <w:b/>
          <w:bCs/>
          <w:sz w:val="24"/>
          <w:szCs w:val="24"/>
        </w:rPr>
        <w:t xml:space="preserve">The UA was about me. I was gone. The Department knew I was gone because they told me to leave. There was no emergency.</w:t>
      </w:r>
    </w:p>
    <w:p>
      <w:pPr>
        <w:spacing w:after="180"/>
      </w:pPr>
      <w:r>
        <w:rPr>
          <w:rFonts w:ascii="Arial" w:cs="Arial" w:eastAsia="Arial" w:hAnsi="Arial"/>
          <w:sz w:val="24"/>
          <w:szCs w:val="24"/>
        </w:rPr>
        <w:t xml:space="preserve">This is not a close question. Emergency removal requires imminent danger — danger that exists at the moment of the action, serious enough that waiting for a hearing would put children at immediate risk. At the moment the hold was filed, I was not in the home. I had left at the Department's direction. My children were with their mother. No court had restricted anyone's parental rights. The only basis the Department had — a contested UA belonging to a person no longer present — does not describe an emergency. It describes a situation that had already changed.</w:t>
      </w:r>
    </w:p>
    <w:p>
      <w:pPr>
        <w:spacing w:after="180"/>
      </w:pPr>
      <w:r>
        <w:rPr>
          <w:rFonts w:ascii="Arial" w:cs="Arial" w:eastAsia="Arial" w:hAnsi="Arial"/>
          <w:b/>
          <w:bCs/>
          <w:sz w:val="24"/>
          <w:szCs w:val="24"/>
        </w:rPr>
        <w:t xml:space="preserve">If the UA was the emergency, the emergency left when I did. The Department filed the hold anyway — secretly, without telling me, and without any remaining factual basis for imminent danger.</w:t>
      </w:r>
    </w:p>
    <w:p>
      <w:pPr>
        <w:spacing w:after="180"/>
      </w:pPr>
      <w:r>
        <w:rPr>
          <w:rFonts w:ascii="Arial" w:cs="Arial" w:eastAsia="Arial" w:hAnsi="Arial"/>
          <w:sz w:val="24"/>
          <w:szCs w:val="24"/>
        </w:rPr>
        <w:t xml:space="preserve">There is also the three-day silence to account for. The Department took no action from Friday through Monday while I was alone with my children. Imminent danger does not wait 72 hours. That inaction is a concession that no emergency existed while I was present and caring for my children. The emergency only appeared on paper after I walked out the door — because the Department needed a legal basis for a removal they pursued after the fact, in secret, without notice to me.</w:t>
      </w:r>
    </w:p>
    <w:p>
      <w:pPr>
        <w:spacing w:after="180"/>
      </w:pPr>
      <w:r>
        <w:rPr>
          <w:rFonts w:ascii="Arial" w:cs="Arial" w:eastAsia="Arial" w:hAnsi="Arial"/>
          <w:sz w:val="24"/>
          <w:szCs w:val="24"/>
        </w:rPr>
        <w:t xml:space="preserve">Substantive due process prohibits the State from acting arbitrarily when interfering with a fundamental right. Invoking emergency authority based on a contested sample, after the alleged danger has already departed, at the instruction of the very agency now claiming emergency, is arbitrary. It is not a legitimate exercise of state power.</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Violation Five — Continued Deprivation Without Timely or Meaningful Review</w:t>
      </w:r>
    </w:p>
    <w:p>
      <w:pPr>
        <w:spacing w:after="180"/>
      </w:pPr>
      <w:r>
        <w:rPr>
          <w:rFonts w:ascii="Arial" w:cs="Arial" w:eastAsia="Arial" w:hAnsi="Arial"/>
          <w:sz w:val="24"/>
          <w:szCs w:val="24"/>
        </w:rPr>
        <w:t xml:space="preserve">Even if the initial emergency action had some arguable basis — which I dispute — due process requires prompt, meaningful judicial review to test whether continued removal is warranted. That review must include the parent.</w:t>
      </w:r>
    </w:p>
    <w:p>
      <w:pPr>
        <w:spacing w:after="180"/>
      </w:pPr>
      <w:r>
        <w:rPr>
          <w:rFonts w:ascii="Arial" w:cs="Arial" w:eastAsia="Arial" w:hAnsi="Arial"/>
          <w:sz w:val="24"/>
          <w:szCs w:val="24"/>
        </w:rPr>
        <w:t xml:space="preserve">The 72-hour hearing was held without me. I was not served. I could not contest the evidence. The hold was extended. I still have not been properly served. I still have not seen the evidence. The deprivation of my parental rights has continued without a single proceeding in which I was able to meaningfully participate.</w:t>
      </w:r>
    </w:p>
    <w:p>
      <w:pPr>
        <w:spacing w:after="180"/>
      </w:pPr>
      <w:r>
        <w:rPr>
          <w:rFonts w:ascii="Arial" w:cs="Arial" w:eastAsia="Arial" w:hAnsi="Arial"/>
          <w:b/>
          <w:bCs/>
          <w:sz w:val="24"/>
          <w:szCs w:val="24"/>
        </w:rPr>
        <w:t xml:space="preserve">The Fourteenth Amendment does not permit the State to maintain a child removal indefinitely while the parent remains uninformed, unserved, and excluded from the proceedings that determine his children's custody.</w:t>
      </w:r>
    </w:p>
    <w:p>
      <w:pPr>
        <w:spacing w:after="80"/>
      </w:pPr>
      <w:r>
        <w:rPr>
          <w:rFonts w:ascii="Arial" w:cs="Arial" w:eastAsia="Arial" w:hAnsi="Arial"/>
          <w:sz w:val="24"/>
          <w:szCs w:val="24"/>
        </w:rPr>
        <w:t xml:space="preserve"/>
      </w:r>
    </w:p>
    <w:p>
      <w:pPr>
        <w:pStyle w:val="Heading1"/>
        <w:pBdr>
          <w:bottom w:val="single" w:color="222222" w:sz="4" w:space="4"/>
        </w:pBdr>
        <w:spacing w:after="160" w:before="360"/>
      </w:pPr>
      <w:r>
        <w:rPr>
          <w:rFonts w:ascii="Arial" w:cs="Arial" w:eastAsia="Arial" w:hAnsi="Arial"/>
          <w:b/>
          <w:bCs/>
          <w:sz w:val="26"/>
          <w:szCs w:val="26"/>
        </w:rPr>
        <w:t xml:space="preserve">III. THE VIOLATIONS ARE SELF-REINFORCING — THE STATE'S OWN FACTS MAKE THE CASE</w:t>
      </w:r>
    </w:p>
    <w:p>
      <w:pPr>
        <w:spacing w:after="180"/>
      </w:pPr>
      <w:r>
        <w:rPr>
          <w:rFonts w:ascii="Arial" w:cs="Arial" w:eastAsia="Arial" w:hAnsi="Arial"/>
          <w:sz w:val="24"/>
          <w:szCs w:val="24"/>
        </w:rPr>
        <w:t xml:space="preserve">This is not a situation where each violation must be evaluated in isolation. These violations form a chain in which each link was created by the Department's own conduct — and in which each step made the next violation possible:</w:t>
      </w:r>
    </w:p>
    <w:p>
      <w:pPr>
        <w:spacing w:after="180"/>
      </w:pPr>
      <w:r>
        <w:rPr>
          <w:rFonts w:ascii="Arial" w:cs="Arial" w:eastAsia="Arial" w:hAnsi="Arial"/>
          <w:sz w:val="24"/>
          <w:szCs w:val="24"/>
        </w:rPr>
        <w:t xml:space="preserve">The Department used coercive threat to obtain a UA. The UA result was immediately disputed and never certified. The Department then verified a legal question — the DNCO scope — solely for the purpose of representing to me that my children would remain home if I left. I left based on that verified representation. The moment I was gone, the Department filed an emergency hold citing the disputed UA, using my absence — which they created — as part of the basis for the hold. My absence from the home made it impossible to serve me at my residence. My inability to be served meant I missed the 72-hour hearing. Missing that hearing meant I could not contest any of the evidence. At that hearing, the Department then sought additional constraints on a parent they knew was absent and unreachable because of their own prior actions.</w:t>
      </w:r>
    </w:p>
    <w:p>
      <w:pPr>
        <w:spacing w:after="180"/>
      </w:pPr>
      <w:r>
        <w:rPr>
          <w:rFonts w:ascii="Arial" w:cs="Arial" w:eastAsia="Arial" w:hAnsi="Arial"/>
          <w:b/>
          <w:bCs/>
          <w:sz w:val="24"/>
          <w:szCs w:val="24"/>
        </w:rPr>
        <w:t xml:space="preserve">Every step in this sequence was enabled by the step before it. Every constitutional violation was made possible by the Department's own preceding conduct. This is not a collection of isolated errors. It is a pattern — and the pattern moves in one direction: away from my rights and toward an unchallenged removal.</w:t>
      </w:r>
    </w:p>
    <w:p>
      <w:pPr>
        <w:spacing w:after="180"/>
      </w:pPr>
      <w:r>
        <w:rPr>
          <w:rFonts w:ascii="Arial" w:cs="Arial" w:eastAsia="Arial" w:hAnsi="Arial"/>
          <w:sz w:val="24"/>
          <w:szCs w:val="24"/>
        </w:rPr>
        <w:t xml:space="preserve">The petition also misidentifies the child at the center of this case — wrong date of birth, wrong name designation. If the Department did not verify the most basic facts about the child before filing, the Court should ask what standard of care governed the rest of its conduct — the UA administration, the DNCO representation, the decision to file a hold the moment I walked out the door.</w:t>
      </w:r>
    </w:p>
    <w:p>
      <w:pPr>
        <w:spacing w:after="180"/>
      </w:pPr>
      <w:r>
        <w:rPr>
          <w:rFonts w:ascii="Arial" w:cs="Arial" w:eastAsia="Arial" w:hAnsi="Arial"/>
          <w:sz w:val="24"/>
          <w:szCs w:val="24"/>
        </w:rPr>
        <w:t xml:space="preserve">The Court has already recognized that something was wrong here, by declining to expand restrictions at a hearing where I had no voice. That recognition was correct. The full record now before the Court shows the problem runs deeper than a procedural gap. It shows a sequence of conduct that, taken together, deprived me of notice, access to evidence, an opportunity to be heard, and a legitimate emergency basis — all at once, all traceable to the Department's own decisions.</w:t>
      </w:r>
    </w:p>
    <w:p>
      <w:pPr>
        <w:spacing w:after="80"/>
      </w:pPr>
      <w:r>
        <w:rPr>
          <w:rFonts w:ascii="Arial" w:cs="Arial" w:eastAsia="Arial" w:hAnsi="Arial"/>
          <w:sz w:val="24"/>
          <w:szCs w:val="24"/>
        </w:rPr>
        <w:t xml:space="preserve"/>
      </w:r>
    </w:p>
    <w:p>
      <w:pPr>
        <w:pStyle w:val="Heading1"/>
        <w:pBdr>
          <w:bottom w:val="single" w:color="222222" w:sz="4" w:space="4"/>
        </w:pBdr>
        <w:spacing w:after="160" w:before="360"/>
      </w:pPr>
      <w:r>
        <w:rPr>
          <w:rFonts w:ascii="Arial" w:cs="Arial" w:eastAsia="Arial" w:hAnsi="Arial"/>
          <w:b/>
          <w:bCs/>
          <w:sz w:val="26"/>
          <w:szCs w:val="26"/>
        </w:rPr>
        <w:t xml:space="preserve">IV. RELIEF REQUESTED</w:t>
      </w:r>
    </w:p>
    <w:p>
      <w:pPr>
        <w:pStyle w:val="Heading2"/>
        <w:spacing w:after="120" w:before="280"/>
      </w:pPr>
      <w:r>
        <w:rPr>
          <w:rFonts w:ascii="Arial" w:cs="Arial" w:eastAsia="Arial" w:hAnsi="Arial"/>
          <w:b/>
          <w:bCs/>
          <w:sz w:val="24"/>
          <w:szCs w:val="24"/>
        </w:rPr>
        <w:t xml:space="preserve">Primary Motion — Dismissal</w:t>
      </w:r>
    </w:p>
    <w:p>
      <w:pPr>
        <w:spacing w:after="180"/>
      </w:pPr>
      <w:r>
        <w:rPr>
          <w:rFonts w:ascii="Arial" w:cs="Arial" w:eastAsia="Arial" w:hAnsi="Arial"/>
          <w:sz w:val="24"/>
          <w:szCs w:val="24"/>
        </w:rPr>
        <w:t xml:space="preserve">I move to dismiss this petition. The State has not met its burden of demonstrating that its interference with my fundamental parental rights complies with the Due Process Clause of the Fourteenth Amendment or Minnesota law. The petition rests on a disputed test I never certified, an emergency that did not exist at the time the hold was filed, proceedings conducted without my knowledge or participation, and documents containing material factual errors. It should not stand.</w:t>
      </w:r>
    </w:p>
    <w:p>
      <w:pPr>
        <w:pStyle w:val="Heading2"/>
        <w:spacing w:after="120" w:before="280"/>
      </w:pPr>
      <w:r>
        <w:rPr>
          <w:rFonts w:ascii="Arial" w:cs="Arial" w:eastAsia="Arial" w:hAnsi="Arial"/>
          <w:b/>
          <w:bCs/>
          <w:sz w:val="24"/>
          <w:szCs w:val="24"/>
        </w:rPr>
        <w:t xml:space="preserve">If the Court Does Not Dismiss</w:t>
      </w:r>
    </w:p>
    <w:p>
      <w:pPr>
        <w:spacing w:after="180"/>
      </w:pPr>
      <w:r>
        <w:rPr>
          <w:rFonts w:ascii="Arial" w:cs="Arial" w:eastAsia="Arial" w:hAnsi="Arial"/>
          <w:sz w:val="24"/>
          <w:szCs w:val="24"/>
        </w:rPr>
        <w:t xml:space="preserve">I request that all proceedings be stayed immediately until:</w:t>
      </w:r>
    </w:p>
    <w:p>
      <w:pPr>
        <w:pStyle w:val="ListParagraph"/>
        <w:numPr>
          <w:ilvl w:val="0"/>
          <w:numId w:val="2"/>
        </w:numPr>
        <w:spacing w:after="160"/>
      </w:pPr>
      <w:r>
        <w:rPr>
          <w:rFonts w:ascii="Arial" w:cs="Arial" w:eastAsia="Arial" w:hAnsi="Arial"/>
          <w:sz w:val="24"/>
          <w:szCs w:val="24"/>
        </w:rPr>
        <w:t xml:space="preserve">I have been properly served with every petition, affidavit, report, exhibit, case plan, laboratory record, safety assessment, and court filing in this matter.</w:t>
      </w:r>
    </w:p>
    <w:p>
      <w:pPr>
        <w:pStyle w:val="ListParagraph"/>
        <w:numPr>
          <w:ilvl w:val="0"/>
          <w:numId w:val="2"/>
        </w:numPr>
        <w:spacing w:after="160"/>
      </w:pPr>
      <w:r>
        <w:rPr>
          <w:rFonts w:ascii="Arial" w:cs="Arial" w:eastAsia="Arial" w:hAnsi="Arial"/>
          <w:sz w:val="24"/>
          <w:szCs w:val="24"/>
        </w:rPr>
        <w:t xml:space="preserve">I have been given sufficient time to review those materials and prepare a response.</w:t>
      </w:r>
    </w:p>
    <w:p>
      <w:pPr>
        <w:pStyle w:val="ListParagraph"/>
        <w:numPr>
          <w:ilvl w:val="0"/>
          <w:numId w:val="2"/>
        </w:numPr>
        <w:spacing w:after="160"/>
      </w:pPr>
      <w:r>
        <w:rPr>
          <w:rFonts w:ascii="Arial" w:cs="Arial" w:eastAsia="Arial" w:hAnsi="Arial"/>
          <w:sz w:val="24"/>
          <w:szCs w:val="24"/>
        </w:rPr>
        <w:t xml:space="preserve">The Department has been required to identify, on the record, the specific statutory authority and factual basis for both the initial emergency hold and its continued maintenance — including an explanation of how the disputed UA justified an emergency filed after I had already left the residence at the Department's direction.</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Preservation of Evidence</w:t>
      </w:r>
    </w:p>
    <w:p>
      <w:pPr>
        <w:spacing w:after="180"/>
      </w:pPr>
      <w:r>
        <w:rPr>
          <w:rFonts w:ascii="Arial" w:cs="Arial" w:eastAsia="Arial" w:hAnsi="Arial"/>
          <w:sz w:val="24"/>
          <w:szCs w:val="24"/>
        </w:rPr>
        <w:t xml:space="preserve">I request that this Court order the immediate preservation of all evidence related to this matter, including:</w:t>
      </w:r>
    </w:p>
    <w:p>
      <w:pPr>
        <w:pStyle w:val="ListParagraph"/>
        <w:numPr>
          <w:ilvl w:val="0"/>
          <w:numId w:val="2"/>
        </w:numPr>
        <w:spacing w:after="160"/>
      </w:pPr>
      <w:r>
        <w:rPr>
          <w:rFonts w:ascii="Arial" w:cs="Arial" w:eastAsia="Arial" w:hAnsi="Arial"/>
          <w:b/>
          <w:bCs/>
          <w:sz w:val="24"/>
          <w:szCs w:val="24"/>
        </w:rPr>
        <w:t xml:space="preserve">Body-camera footage — urgent:</w:t>
      </w:r>
      <w:r>
        <w:rPr>
          <w:rFonts w:ascii="Arial" w:cs="Arial" w:eastAsia="Arial" w:hAnsi="Arial"/>
          <w:sz w:val="24"/>
          <w:szCs w:val="24"/>
        </w:rPr>
        <w:t xml:space="preserve"> I was told by the officer present that his body-worn camera was recording during the entire encounter. That footage would capture my objection to the urinalysis, the officer's acknowledgment of the visible contamination, the Department's representation that the children would remain home, and the officer's own good-faith participation in verifying the DNCO scope based on that same understanding. It would also capture the moment — after the officer returned with my wife — when the Department first disclosed that a hold would be placed, contradicting everything that had been represented up to that point. If that footage has been altered, deleted, or is now claimed to be unavailable, that fact is itself evidence and must be preserved and disclosed. This footage is the highest priority item for preservation.</w:t>
      </w:r>
    </w:p>
    <w:p>
      <w:pPr>
        <w:pStyle w:val="ListParagraph"/>
        <w:numPr>
          <w:ilvl w:val="0"/>
          <w:numId w:val="2"/>
        </w:numPr>
        <w:spacing w:after="160"/>
      </w:pPr>
      <w:r>
        <w:rPr>
          <w:rFonts w:ascii="Arial" w:cs="Arial" w:eastAsia="Arial" w:hAnsi="Arial"/>
          <w:sz w:val="24"/>
          <w:szCs w:val="24"/>
        </w:rPr>
        <w:t xml:space="preserve">All squad and dash-camera video from that day.</w:t>
      </w:r>
    </w:p>
    <w:p>
      <w:pPr>
        <w:pStyle w:val="ListParagraph"/>
        <w:numPr>
          <w:ilvl w:val="0"/>
          <w:numId w:val="2"/>
        </w:numPr>
        <w:spacing w:after="160"/>
      </w:pPr>
      <w:r>
        <w:rPr>
          <w:rFonts w:ascii="Arial" w:cs="Arial" w:eastAsia="Arial" w:hAnsi="Arial"/>
          <w:sz w:val="24"/>
          <w:szCs w:val="24"/>
        </w:rPr>
        <w:t xml:space="preserve">All social worker notes, emails, text messages, and internal communications regarding this case — including any communications between the officer and the Department after I departed the residence.</w:t>
      </w:r>
    </w:p>
    <w:p>
      <w:pPr>
        <w:pStyle w:val="ListParagraph"/>
        <w:numPr>
          <w:ilvl w:val="0"/>
          <w:numId w:val="2"/>
        </w:numPr>
        <w:spacing w:after="160"/>
      </w:pPr>
      <w:r>
        <w:rPr>
          <w:rFonts w:ascii="Arial" w:cs="Arial" w:eastAsia="Arial" w:hAnsi="Arial"/>
          <w:sz w:val="24"/>
          <w:szCs w:val="24"/>
        </w:rPr>
        <w:t xml:space="preserve">The original laboratory specimen, chain-of-custody documentation, and all records related to the contested urinalysis.</w:t>
      </w:r>
    </w:p>
    <w:p>
      <w:pPr>
        <w:pStyle w:val="ListParagraph"/>
        <w:numPr>
          <w:ilvl w:val="0"/>
          <w:numId w:val="2"/>
        </w:numPr>
        <w:spacing w:after="160"/>
      </w:pPr>
      <w:r>
        <w:rPr>
          <w:rFonts w:ascii="Arial" w:cs="Arial" w:eastAsia="Arial" w:hAnsi="Arial"/>
          <w:sz w:val="24"/>
          <w:szCs w:val="24"/>
        </w:rPr>
        <w:t xml:space="preserve">All dispatch logs and communications from the date of the Department's arrival.</w:t>
      </w:r>
    </w:p>
    <w:p>
      <w:pPr>
        <w:pStyle w:val="ListParagraph"/>
        <w:numPr>
          <w:ilvl w:val="0"/>
          <w:numId w:val="2"/>
        </w:numPr>
        <w:spacing w:after="160"/>
      </w:pPr>
      <w:r>
        <w:rPr>
          <w:rFonts w:ascii="Arial" w:cs="Arial" w:eastAsia="Arial" w:hAnsi="Arial"/>
          <w:sz w:val="24"/>
          <w:szCs w:val="24"/>
        </w:rPr>
        <w:t xml:space="preserve">All recordings of prior hearings in this matter.</w:t>
      </w:r>
    </w:p>
    <w:p>
      <w:pPr>
        <w:spacing w:after="180"/>
      </w:pPr>
      <w:r>
        <w:rPr>
          <w:rFonts w:ascii="Arial" w:cs="Arial" w:eastAsia="Arial" w:hAnsi="Arial"/>
          <w:sz w:val="24"/>
          <w:szCs w:val="24"/>
        </w:rPr>
        <w:t xml:space="preserve">The conduct of the Department in this case — the misrepresentation that induced my departure, the filing of an emergency hold after I left, the failure to serve me before the 72-hour hearing, and the continued deprivation of my parental rights without notice or access to evidence — may be the subject of future judicial review. That review requires a complete and preserved record.</w:t>
      </w:r>
    </w:p>
    <w:p>
      <w:pPr>
        <w:spacing w:after="80"/>
      </w:pPr>
      <w:r>
        <w:rPr>
          <w:rFonts w:ascii="Arial" w:cs="Arial" w:eastAsia="Arial" w:hAnsi="Arial"/>
          <w:sz w:val="24"/>
          <w:szCs w:val="24"/>
        </w:rPr>
        <w:t xml:space="preserve"/>
      </w:r>
    </w:p>
    <w:p>
      <w:pPr>
        <w:pStyle w:val="Heading2"/>
        <w:spacing w:after="120" w:before="280"/>
      </w:pPr>
      <w:r>
        <w:rPr>
          <w:rFonts w:ascii="Arial" w:cs="Arial" w:eastAsia="Arial" w:hAnsi="Arial"/>
          <w:b/>
          <w:bCs/>
          <w:sz w:val="24"/>
          <w:szCs w:val="24"/>
        </w:rPr>
        <w:t xml:space="preserve">Reservation of Rights</w:t>
      </w:r>
    </w:p>
    <w:p>
      <w:pPr>
        <w:spacing w:after="180"/>
      </w:pPr>
      <w:r>
        <w:rPr>
          <w:rFonts w:ascii="Arial" w:cs="Arial" w:eastAsia="Arial" w:hAnsi="Arial"/>
          <w:sz w:val="24"/>
          <w:szCs w:val="24"/>
        </w:rPr>
        <w:t xml:space="preserve">I respectfully state for the record that I reserve all rights and remedies available to me under state and federal law arising from the conduct described above. I am not asking this Court to adjudicate those claims today. I am asking that my objections be preserved on the record so that no future tribunal concludes I waived them.</w:t>
      </w:r>
    </w:p>
    <w:p>
      <w:pPr>
        <w:spacing w:after="80"/>
      </w:pPr>
      <w:r>
        <w:rPr>
          <w:rFonts w:ascii="Arial" w:cs="Arial" w:eastAsia="Arial" w:hAnsi="Arial"/>
          <w:sz w:val="24"/>
          <w:szCs w:val="24"/>
        </w:rPr>
        <w:t xml:space="preserve"/>
      </w:r>
    </w:p>
    <w:p>
      <w:pPr>
        <w:spacing w:after="180"/>
      </w:pPr>
      <w:r>
        <w:rPr>
          <w:rFonts w:ascii="Arial" w:cs="Arial" w:eastAsia="Arial" w:hAnsi="Arial"/>
          <w:b/>
          <w:bCs/>
          <w:sz w:val="24"/>
          <w:szCs w:val="24"/>
        </w:rPr>
        <w:t xml:space="preserve">Respectfully submitted,</w:t>
      </w:r>
    </w:p>
    <w:p>
      <w:pPr>
        <w:spacing w:after="80"/>
      </w:pPr>
      <w:r>
        <w:rPr>
          <w:rFonts w:ascii="Arial" w:cs="Arial" w:eastAsia="Arial" w:hAnsi="Arial"/>
          <w:sz w:val="24"/>
          <w:szCs w:val="24"/>
        </w:rPr>
        <w:t xml:space="preserve"/>
      </w:r>
    </w:p>
    <w:p>
      <w:pPr>
        <w:spacing w:after="180"/>
      </w:pPr>
      <w:r>
        <w:rPr>
          <w:rFonts w:ascii="Arial" w:cs="Arial" w:eastAsia="Arial" w:hAnsi="Arial"/>
          <w:b/>
          <w:bCs/>
          <w:sz w:val="24"/>
          <w:szCs w:val="24"/>
        </w:rPr>
        <w:t xml:space="preserve">James Chapman</w:t>
      </w:r>
    </w:p>
    <w:p>
      <w:pPr>
        <w:spacing w:after="180"/>
      </w:pPr>
      <w:r>
        <w:rPr>
          <w:rFonts w:ascii="Arial" w:cs="Arial" w:eastAsia="Arial" w:hAnsi="Arial"/>
          <w:sz w:val="24"/>
          <w:szCs w:val="24"/>
        </w:rPr>
        <w:t xml:space="preserve">Pro Se — Father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sz w:val="26"/>
      <w:szCs w:val="26"/>
    </w:rPr>
  </w:style>
  <w:style w:type="paragraph" w:styleId="Heading2">
    <w:name w:val="Heading 2"/>
    <w:basedOn w:val="Normal"/>
    <w:next w:val="Normal"/>
    <w:pPr>
      <w:spacing w:after="12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2026-06-29T05:04:10.702Z</dcterms:created>
  <dcterms:modified xsi:type="dcterms:W3CDTF">2026-06-29T05:04:10.702Z</dcterms:modified>
</cp:coreProperties>
</file>

<file path=docProps/custom.xml><?xml version="1.0" encoding="utf-8"?>
<Properties xmlns="http://schemas.openxmlformats.org/officeDocument/2006/custom-properties" xmlns:vt="http://schemas.openxmlformats.org/officeDocument/2006/docPropsVTypes"/>
</file>