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 w:val="0"/>
          <w:sz w:val="44"/>
        </w:rPr>
        <w:t>西南大学教师职业能力测评团体报告</w:t>
      </w:r>
    </w:p>
    <w:p>
      <w:pPr>
        <w:jc w:val="center"/>
      </w:pPr>
      <w:r>
        <w:t>单位：</w:t>
      </w:r>
    </w:p>
    <w:p>
      <w:pPr>
        <w:jc w:val="center"/>
      </w:pPr>
      <w:r>
        <w:t>人数：</w:t>
      </w:r>
    </w:p>
    <w:p/>
    <w:p>
      <w:pPr>
        <w:jc w:val="center"/>
      </w:pPr>
      <w:r>
        <w:rPr>
          <w:b/>
          <w:color w:val="2E74B5"/>
          <w:sz w:val="36"/>
        </w:rPr>
        <w:t>基本情况</w:t>
      </w:r>
    </w:p>
    <w:p>
      <w:r>
        <w:t>1.性别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2.年龄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2.教龄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4.学历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5.职称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6.岗位分布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color w:val="2E74B5"/>
          <w:sz w:val="36"/>
        </w:rPr>
        <w:t>测评结果</w:t>
      </w:r>
    </w:p>
    <w:p>
      <w:r>
        <w:rPr>
          <w:color w:val="2E7482"/>
        </w:rPr>
        <w:t>1.工作疲劳</w:t>
      </w:r>
    </w:p>
    <w:p>
      <w:r>
        <w:t xml:space="preserve"> (1) 总体情况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平均得分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各维度平均分</w:t>
            </w:r>
          </w:p>
        </w:tc>
        <w:tc>
          <w:tcPr>
            <w:tcW w:type="dxa" w:w="17280"/>
            <w:gridSpan w:val="6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情绪衰竭</w:t>
            </w:r>
            <w:r>
              <w:rPr>
                <w:rFonts w:ascii="微软雅黑" w:hAnsi="微软雅黑"/>
                <w:b/>
                <w:color w:val="FFFFFF"/>
                <w:sz w:val="24"/>
              </w:rPr>
              <w:t>成就感低落</w:t>
            </w:r>
            <w:r>
              <w:rPr>
                <w:rFonts w:ascii="微软雅黑" w:hAnsi="微软雅黑"/>
                <w:b/>
                <w:color w:val="FFFFFF"/>
                <w:sz w:val="24"/>
              </w:rPr>
              <w:t>玩世不恭</w:t>
            </w:r>
          </w:p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水平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Merge w:val="restart"/>
            <w:vAlign w:val="center"/>
          </w:tcPr>
          <w:p/>
        </w:tc>
        <w:tc>
          <w:tcPr>
            <w:tcW w:type="dxa" w:w="5760"/>
            <w:gridSpan w:val="6"/>
            <w:vMerge w:val="restart"/>
            <w:vAlign w:val="center"/>
          </w:tcPr>
          <w:p/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解释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Merge/>
            <w:vAlign w:val="center"/>
          </w:tcPr>
          <w:p/>
        </w:tc>
        <w:tc>
          <w:tcPr>
            <w:tcW w:type="dxa" w:w="5760"/>
            <w:gridSpan w:val="6"/>
            <w:vMerge/>
            <w:vAlign w:val="center"/>
          </w:tcPr>
          <w:p/>
        </w:tc>
      </w:tr>
    </w:tbl>
    <w:p>
      <w:r>
        <w:t>(2) 差异分析</w:t>
      </w:r>
    </w:p>
    <w:p>
      <w:r>
        <w:t>① 性别差异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性别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平均得分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水平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解释</w:t>
            </w:r>
          </w:p>
        </w:tc>
      </w:tr>
      <w:tr>
        <w:trPr>
          <w:trHeight w:val="360"/>
        </w:trPr>
        <w:tc>
          <w:tcPr>
            <w:tcW w:type="dxa" w:w="21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男</w:t>
            </w:r>
          </w:p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</w:tr>
      <w:tr>
        <w:trPr>
          <w:trHeight w:val="360"/>
        </w:trPr>
        <w:tc>
          <w:tcPr>
            <w:tcW w:type="dxa" w:w="21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女</w:t>
            </w:r>
          </w:p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</w:tr>
    </w:tbl>
    <w:p>
      <w:r>
        <w:t>② 年龄差异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平均得分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水平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解释</w:t>
            </w:r>
          </w:p>
        </w:tc>
      </w:tr>
      <w:tr>
        <w:trPr>
          <w:trHeight w:val="360"/>
        </w:trPr>
        <w:tc>
          <w:tcPr>
            <w:tcW w:type="dxa" w:w="21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&lt;30</w:t>
            </w:r>
          </w:p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</w:tr>
      <w:tr>
        <w:trPr>
          <w:trHeight w:val="360"/>
        </w:trPr>
        <w:tc>
          <w:tcPr>
            <w:tcW w:type="dxa" w:w="21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&gt;70</w:t>
            </w:r>
          </w:p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</w:tr>
    </w:tbl>
    <w:p>
      <w:r>
        <w:t>③ 教龄差异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teac_age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平均得分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水平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解释</w:t>
            </w:r>
          </w:p>
        </w:tc>
      </w:tr>
      <w:tr>
        <w:trPr>
          <w:trHeight w:val="360"/>
        </w:trPr>
        <w:tc>
          <w:tcPr>
            <w:tcW w:type="dxa" w:w="21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5</w:t>
            </w:r>
          </w:p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</w:tr>
      <w:tr>
        <w:trPr>
          <w:trHeight w:val="360"/>
        </w:trPr>
        <w:tc>
          <w:tcPr>
            <w:tcW w:type="dxa" w:w="21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&gt;25</w:t>
            </w:r>
          </w:p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  <w:tc>
          <w:tcPr>
            <w:tcW w:type="dxa" w:w="2160"/>
            <w:vAlign w:val="center"/>
          </w:tcPr>
          <w:p/>
        </w:tc>
      </w:tr>
    </w:tbl>
    <w:p>
      <w:r>
        <w:rPr>
          <w:color w:val="2E7482"/>
        </w:rPr>
        <w:t>2.幸福感</w:t>
      </w:r>
    </w:p>
    <w:p>
      <w:r>
        <w:t xml:space="preserve"> (1) 总体情况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平均得分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水平</w:t>
            </w:r>
          </w:p>
        </w:tc>
        <w:tc>
          <w:tcPr>
            <w:tcW w:type="dxa" w:w="11520"/>
            <w:gridSpan w:val="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解释</w:t>
            </w:r>
          </w:p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 w:val="restart"/>
            <w:vAlign w:val="center"/>
          </w:tcPr>
          <w:p/>
        </w:tc>
        <w:tc>
          <w:tcPr>
            <w:tcW w:type="dxa" w:w="4936"/>
            <w:gridSpan w:val="4"/>
            <w:vMerge w:val="restart"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对健康的担心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精力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对生活的满足和兴趣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忧郁或愉快的心境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对情感和行为的控制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松弛与紧张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</w:tbl>
    <w:p>
      <w:r>
        <w:t>(2) 差异分析</w:t>
      </w:r>
    </w:p>
    <w:p>
      <w:r>
        <w:t>① 性别差异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性别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对健康的担心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精力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对生活的满足和兴趣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忧郁或愉快的心境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对情感和行为的控制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松弛与紧张</w:t>
            </w:r>
          </w:p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男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女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</w:tr>
    </w:tbl>
    <w:p>
      <w:r>
        <w:t>② 年龄差异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对健康的担心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精力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对生活的满足和兴趣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忧郁或愉快的心境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对情感和行为的控制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松弛与紧张</w:t>
            </w:r>
          </w:p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&lt;30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&gt;70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</w:tr>
    </w:tbl>
    <w:p>
      <w:r>
        <w:t>③ 教龄差异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teac_age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对健康的担心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精力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对生活的满足和兴趣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忧郁或愉快的心境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对情感和行为的控制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松弛与紧张</w:t>
            </w:r>
          </w:p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5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</w:tr>
      <w:tr>
        <w:trPr>
          <w:trHeight w:val="360"/>
        </w:trPr>
        <w:tc>
          <w:tcPr>
            <w:tcW w:type="dxa" w:w="96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&gt;25</w:t>
            </w:r>
          </w:p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  <w:tc>
          <w:tcPr>
            <w:tcW w:type="dxa" w:w="960"/>
            <w:vAlign w:val="center"/>
          </w:tcPr>
          <w:p/>
        </w:tc>
      </w:tr>
    </w:tbl>
    <w:p>
      <w:r>
        <w:rPr>
          <w:color w:val="2E7482"/>
        </w:rPr>
        <w:t>3.压力情况</w:t>
      </w:r>
    </w:p>
    <w:p>
      <w:r>
        <w:t xml:space="preserve"> (1) 总体情况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平均得分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水平</w:t>
            </w:r>
          </w:p>
        </w:tc>
        <w:tc>
          <w:tcPr>
            <w:tcW w:type="dxa" w:w="11520"/>
            <w:gridSpan w:val="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解释</w:t>
            </w:r>
          </w:p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 w:val="restart"/>
            <w:vAlign w:val="center"/>
          </w:tcPr>
          <w:p/>
        </w:tc>
        <w:tc>
          <w:tcPr>
            <w:tcW w:type="dxa" w:w="4936"/>
            <w:gridSpan w:val="4"/>
            <w:vMerge w:val="restart"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紧张感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失控感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</w:tbl>
    <w:p>
      <w:r>
        <w:t>(2) 差异分析</w:t>
      </w:r>
    </w:p>
    <w:p>
      <w:r>
        <w:t>① 性别差异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性别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紧张感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失控感</w:t>
            </w:r>
          </w:p>
        </w:tc>
      </w:tr>
      <w:tr>
        <w:trPr>
          <w:trHeight w:val="360"/>
        </w:trPr>
        <w:tc>
          <w:tcPr>
            <w:tcW w:type="dxa" w:w="1728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男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rPr>
          <w:trHeight w:val="360"/>
        </w:trPr>
        <w:tc>
          <w:tcPr>
            <w:tcW w:type="dxa" w:w="1728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女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</w:tbl>
    <w:p>
      <w:r>
        <w:t>② 年龄差异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紧张感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失控感</w:t>
            </w:r>
          </w:p>
        </w:tc>
      </w:tr>
      <w:tr>
        <w:trPr>
          <w:trHeight w:val="360"/>
        </w:trPr>
        <w:tc>
          <w:tcPr>
            <w:tcW w:type="dxa" w:w="1728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&lt;30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rPr>
          <w:trHeight w:val="360"/>
        </w:trPr>
        <w:tc>
          <w:tcPr>
            <w:tcW w:type="dxa" w:w="1728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&gt;70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</w:tbl>
    <w:p>
      <w:r>
        <w:t>③ 教龄差异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teac_age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紧张感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失控感</w:t>
            </w:r>
          </w:p>
        </w:tc>
      </w:tr>
      <w:tr>
        <w:trPr>
          <w:trHeight w:val="360"/>
        </w:trPr>
        <w:tc>
          <w:tcPr>
            <w:tcW w:type="dxa" w:w="1728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5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  <w:tr>
        <w:trPr>
          <w:trHeight w:val="360"/>
        </w:trPr>
        <w:tc>
          <w:tcPr>
            <w:tcW w:type="dxa" w:w="1728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&gt;25</w:t>
            </w:r>
          </w:p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  <w:tc>
          <w:tcPr>
            <w:tcW w:type="dxa" w:w="1728"/>
            <w:vAlign w:val="center"/>
          </w:tcPr>
          <w:p/>
        </w:tc>
      </w:tr>
    </w:tbl>
    <w:p>
      <w:r>
        <w:rPr>
          <w:color w:val="2E7482"/>
        </w:rPr>
        <w:t>4.心理状况</w:t>
      </w:r>
    </w:p>
    <w:p>
      <w:r>
        <w:t xml:space="preserve"> (1) 总体情况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平均得分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水平</w:t>
            </w:r>
          </w:p>
        </w:tc>
        <w:tc>
          <w:tcPr>
            <w:tcW w:type="dxa" w:w="11520"/>
            <w:gridSpan w:val="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解释</w:t>
            </w:r>
          </w:p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 w:val="restart"/>
            <w:vAlign w:val="center"/>
          </w:tcPr>
          <w:p/>
        </w:tc>
        <w:tc>
          <w:tcPr>
            <w:tcW w:type="dxa" w:w="4936"/>
            <w:gridSpan w:val="4"/>
            <w:vMerge w:val="restart"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躯体化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强迫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人际关系敏感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抑郁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焦虑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敌对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恐怖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偏执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  <w:tr>
        <w:trPr>
          <w:trHeight w:val="360"/>
        </w:trPr>
        <w:tc>
          <w:tcPr>
            <w:tcW w:type="dxa" w:w="1234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精神病性</w:t>
            </w:r>
          </w:p>
        </w:tc>
        <w:tc>
          <w:tcPr>
            <w:tcW w:type="dxa" w:w="1234"/>
            <w:vAlign w:val="center"/>
          </w:tcPr>
          <w:p/>
        </w:tc>
        <w:tc>
          <w:tcPr>
            <w:tcW w:type="dxa" w:w="1234"/>
            <w:vMerge/>
            <w:vAlign w:val="center"/>
          </w:tcPr>
          <w:p/>
        </w:tc>
        <w:tc>
          <w:tcPr>
            <w:tcW w:type="dxa" w:w="4936"/>
            <w:gridSpan w:val="4"/>
            <w:vMerge/>
            <w:vAlign w:val="center"/>
          </w:tcPr>
          <w:p/>
        </w:tc>
      </w:tr>
    </w:tbl>
    <w:p>
      <w:r>
        <w:t>(2) 差异分析</w:t>
      </w:r>
    </w:p>
    <w:p>
      <w:r>
        <w:t>① 性别差异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性别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躯体化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强迫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人际关系敏感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抑郁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焦虑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敌对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恐怖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偏执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精神病性</w:t>
            </w:r>
          </w:p>
        </w:tc>
      </w:tr>
      <w:tr>
        <w:trPr>
          <w:trHeight w:val="360"/>
        </w:trPr>
        <w:tc>
          <w:tcPr>
            <w:tcW w:type="dxa" w:w="72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男</w:t>
            </w:r>
          </w:p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</w:tr>
      <w:tr>
        <w:trPr>
          <w:trHeight w:val="360"/>
        </w:trPr>
        <w:tc>
          <w:tcPr>
            <w:tcW w:type="dxa" w:w="72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女</w:t>
            </w:r>
          </w:p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</w:tr>
    </w:tbl>
    <w:p>
      <w:r>
        <w:t>② 年龄差异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躯体化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强迫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人际关系敏感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抑郁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焦虑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敌对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恐怖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偏执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精神病性</w:t>
            </w:r>
          </w:p>
        </w:tc>
      </w:tr>
      <w:tr>
        <w:trPr>
          <w:trHeight w:val="360"/>
        </w:trPr>
        <w:tc>
          <w:tcPr>
            <w:tcW w:type="dxa" w:w="72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&lt;30</w:t>
            </w:r>
          </w:p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</w:tr>
      <w:tr>
        <w:trPr>
          <w:trHeight w:val="360"/>
        </w:trPr>
        <w:tc>
          <w:tcPr>
            <w:tcW w:type="dxa" w:w="72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&gt;70</w:t>
            </w:r>
          </w:p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</w:tr>
    </w:tbl>
    <w:p>
      <w:r>
        <w:t>③ 教龄差异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360"/>
        </w:trPr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teac_age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 xml:space="preserve"> 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总分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躯体化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强迫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人际关系敏感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抑郁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焦虑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敌对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恐怖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偏执</w:t>
            </w:r>
          </w:p>
        </w:tc>
        <w:tc>
          <w:tcPr>
            <w:tcW w:type="dxa" w:w="288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精神病性</w:t>
            </w:r>
          </w:p>
        </w:tc>
      </w:tr>
      <w:tr>
        <w:trPr>
          <w:trHeight w:val="360"/>
        </w:trPr>
        <w:tc>
          <w:tcPr>
            <w:tcW w:type="dxa" w:w="72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5</w:t>
            </w:r>
          </w:p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</w:tr>
      <w:tr>
        <w:trPr>
          <w:trHeight w:val="360"/>
        </w:trPr>
        <w:tc>
          <w:tcPr>
            <w:tcW w:type="dxa" w:w="720"/>
            <w:vAlign w:val="center"/>
          </w:tcPr>
          <w:p>
            <w:r>
              <w:rPr>
                <w:rFonts w:ascii="微软雅黑" w:hAnsi="微软雅黑"/>
                <w:b/>
                <w:color w:val="FFFFFF"/>
                <w:sz w:val="24"/>
              </w:rPr>
              <w:t>&gt;25</w:t>
            </w:r>
          </w:p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  <w:tc>
          <w:tcPr>
            <w:tcW w:type="dxa" w:w="720"/>
            <w:vAlign w:val="center"/>
          </w:tcPr>
          <w:p/>
        </w:tc>
      </w:tr>
    </w:tbl>
    <w:p>
      <w:pPr>
        <w:spacing w:before="1000"/>
        <w:jc w:val="center"/>
      </w:pPr>
      <w:r>
        <w:t>-------------------------报告结束-------------------------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