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60"/>
      </w:pPr>
      <w:r>
        <w:rPr>
          <w:rFonts w:ascii="Calibri" w:hAnsi="Calibri"/>
          <w:b/>
          <w:color w:val="2E74B5"/>
          <w:sz w:val="20"/>
        </w:rPr>
        <w:t>QUICK RECAP</w:t>
      </w:r>
    </w:p>
    <w:p>
      <w:pPr>
        <w:spacing w:after="120"/>
      </w:pPr>
      <w:r>
        <w:rPr>
          <w:rFonts w:ascii="Calibri" w:hAnsi="Calibri"/>
          <w:b/>
          <w:color w:val="142233"/>
          <w:sz w:val="50"/>
        </w:rPr>
        <w:t>Modern Data Engineering with Medallion Pipelines</w:t>
      </w:r>
    </w:p>
    <w:p>
      <w:pPr>
        <w:spacing w:after="360"/>
      </w:pPr>
      <w:r>
        <w:rPr>
          <w:rFonts w:ascii="Calibri" w:hAnsi="Calibri"/>
          <w:color w:val="1F4D78"/>
          <w:sz w:val="28"/>
        </w:rPr>
        <w:t>Day 1 concepts and Day 2 bridge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2700"/>
        <w:gridCol w:w="3960"/>
      </w:tblGrid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2E74B5"/>
                <w:sz w:val="16"/>
              </w:rPr>
              <w:t>FORMAT</w:t>
              <w:br/>
            </w:r>
            <w:r>
              <w:rPr>
                <w:rFonts w:ascii="Calibri" w:hAnsi="Calibri"/>
                <w:b/>
                <w:color w:val="142233"/>
                <w:sz w:val="20"/>
              </w:rPr>
              <w:t>Instructor-led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2E74B5"/>
                <w:sz w:val="16"/>
              </w:rPr>
              <w:t>DURATION</w:t>
              <w:br/>
            </w:r>
            <w:r>
              <w:rPr>
                <w:rFonts w:ascii="Calibri" w:hAnsi="Calibri"/>
                <w:b/>
                <w:color w:val="142233"/>
                <w:sz w:val="20"/>
              </w:rPr>
              <w:t>8 hours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2E74B5"/>
                <w:sz w:val="16"/>
              </w:rPr>
              <w:t>PLATFORM</w:t>
              <w:br/>
            </w:r>
            <w:r>
              <w:rPr>
                <w:rFonts w:ascii="Calibri" w:hAnsi="Calibri"/>
                <w:b/>
                <w:color w:val="142233"/>
                <w:sz w:val="20"/>
              </w:rPr>
              <w:t>Ubuntu 24.04 LTS / on-prem</w:t>
            </w:r>
          </w:p>
        </w:tc>
      </w:tr>
    </w:tbl>
    <w:p/>
    <w:p>
      <w:pPr>
        <w:pStyle w:val="Heading2"/>
      </w:pPr>
      <w:r>
        <w:t>The 90-Second Version</w:t>
      </w:r>
    </w:p>
    <w:p>
      <w:pPr>
        <w:spacing w:after="120"/>
      </w:pPr>
      <w:r>
        <w:t>A modern data pipeline captures facts, preserves history, improves quality and serves useful outputs. Direct calls are often simple but tightly couple a producer to every receiver. An event notification lets a producer record what happened once and allows independent consumers to act later. Batch processes a bounded collection on a schedule; streaming reacts to arriving events and therefore brings state, ordering, retry and observability questions. Medallion layers express progressive trust: Bronze preserves raw evidence, Silver makes it consistent, Gold makes it useful for a defined consumption need.</w:t>
      </w:r>
    </w:p>
    <w:p>
      <w:pPr>
        <w:pStyle w:val="Heading2"/>
      </w:pPr>
      <w:r>
        <w:t>Key Terms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42233"/>
                <w:sz w:val="20"/>
              </w:rPr>
              <w:t>Term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42233"/>
                <w:sz w:val="20"/>
              </w:rPr>
              <w:t>Say it simply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42233"/>
                <w:sz w:val="20"/>
              </w:rPr>
              <w:t>Tight coupling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42233"/>
                <w:sz w:val="20"/>
              </w:rPr>
              <w:t>One component directly depends on another being available now.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42233"/>
                <w:sz w:val="20"/>
              </w:rPr>
              <w:t>Loose coupling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42233"/>
                <w:sz w:val="20"/>
              </w:rPr>
              <w:t>Components interact through an agreed message/channel and do not need to run together.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42233"/>
                <w:sz w:val="20"/>
              </w:rPr>
              <w:t>Event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42233"/>
                <w:sz w:val="20"/>
              </w:rPr>
              <w:t>A fact that has happened.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42233"/>
                <w:sz w:val="20"/>
              </w:rPr>
              <w:t>Event notification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42233"/>
                <w:sz w:val="20"/>
              </w:rPr>
              <w:t>A message announcing the fact for interested consumers.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42233"/>
                <w:sz w:val="20"/>
              </w:rPr>
              <w:t>Batch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42233"/>
                <w:sz w:val="20"/>
              </w:rPr>
              <w:t>Work performed on a bounded set, usually on a schedule.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42233"/>
                <w:sz w:val="20"/>
              </w:rPr>
              <w:t>Streaming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42233"/>
                <w:sz w:val="20"/>
              </w:rPr>
              <w:t>Work performed as an ongoing sequence arrives.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42233"/>
                <w:sz w:val="20"/>
              </w:rPr>
              <w:t>CDC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42233"/>
                <w:sz w:val="20"/>
              </w:rPr>
              <w:t>Capturing committed data changes such as insert, update and delete.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42233"/>
                <w:sz w:val="20"/>
              </w:rPr>
              <w:t>Bronze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42233"/>
                <w:sz w:val="20"/>
              </w:rPr>
              <w:t>Raw, replayable evidence plus ingestion metadata.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42233"/>
                <w:sz w:val="20"/>
              </w:rPr>
              <w:t>Silver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42233"/>
                <w:sz w:val="20"/>
              </w:rPr>
              <w:t>Clean, typed, deduplicated/conformed data.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42233"/>
                <w:sz w:val="20"/>
              </w:rPr>
              <w:t>Gold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42233"/>
                <w:sz w:val="20"/>
              </w:rPr>
              <w:t>Consumption-ready measures and dimensions.</w:t>
            </w:r>
          </w:p>
        </w:tc>
      </w:tr>
    </w:tbl>
    <w:p/>
    <w:p>
      <w:pPr>
        <w:pStyle w:val="Heading2"/>
      </w:pPr>
      <w:r>
        <w:t>Sketch From Memory</w:t>
      </w:r>
    </w:p>
    <w:p>
      <w:pPr>
        <w:spacing w:after="120"/>
      </w:pPr>
      <w:r>
        <w:t>Draw two pipelines:</w:t>
      </w:r>
    </w:p>
    <w:p>
      <w:pPr>
        <w:pStyle w:val="ListNumber"/>
      </w:pPr>
      <w:r>
        <w:t>A tightly coupled order writer that calls two receivers directly.</w:t>
      </w:r>
    </w:p>
    <w:p>
      <w:pPr>
        <w:pStyle w:val="ListNumber"/>
      </w:pPr>
      <w:r>
        <w:t>A loosely coupled order producer that writes one event notification, read</w:t>
      </w:r>
    </w:p>
    <w:p>
      <w:pPr>
        <w:spacing w:after="120"/>
      </w:pPr>
      <w:r>
        <w:t>independently by two consumers.</w:t>
      </w:r>
    </w:p>
    <w:p>
      <w:pPr>
        <w:spacing w:after="120"/>
      </w:pPr>
      <w:r>
        <w:t>Mark the failure point if the notification receiver is offline.</w:t>
      </w:r>
    </w:p>
    <w:p>
      <w:pPr>
        <w:pStyle w:val="Heading2"/>
      </w:pPr>
      <w:r>
        <w:t>Quick Check</w:t>
      </w:r>
    </w:p>
    <w:p>
      <w:pPr>
        <w:pStyle w:val="ListNumber"/>
      </w:pPr>
      <w:r>
        <w:t>Why did the tightly coupled script fail when notifications failed?</w:t>
      </w:r>
    </w:p>
    <w:p>
      <w:pPr>
        <w:pStyle w:val="ListNumber"/>
      </w:pPr>
      <w:r>
        <w:t>Why could the event producer succeed before the consumer recovered?</w:t>
      </w:r>
    </w:p>
    <w:p>
      <w:pPr>
        <w:pStyle w:val="ListNumber"/>
      </w:pPr>
      <w:r>
        <w:t>Is real-time always better than batch? Explain one trade-off.</w:t>
      </w:r>
    </w:p>
    <w:p>
      <w:pPr>
        <w:pStyle w:val="ListNumber"/>
      </w:pPr>
      <w:r>
        <w:t>Where would an unchanged raw event belong in Medallion layers?</w:t>
      </w:r>
    </w:p>
    <w:p>
      <w:pPr>
        <w:pStyle w:val="ListNumber"/>
      </w:pPr>
      <w:r>
        <w:t>Why do we delay Kafka and Debezium labs until Days 2 and 4?</w:t>
      </w:r>
    </w:p>
    <w:p>
      <w:pPr>
        <w:pStyle w:val="Heading2"/>
      </w:pPr>
      <w:r>
        <w:t>Day 2 Bridge</w:t>
      </w:r>
    </w:p>
    <w:p>
      <w:pPr>
        <w:spacing w:after="120"/>
      </w:pPr>
      <w:r>
        <w:t>Today the durable event inbox was a local JSONL file. On Day 2, Kafka becomes the durable event channel: learners will create topics, publish events, consume them, examine keys and partitions, and connect ordering to the architecture choices made today.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56478"/>
        <w:sz w:val="18"/>
      </w:rPr>
      <w:t>Week 1 - Day 1  |  On-Prem Ubuntu Lab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120"/>
      <w:pBdr>
        <w:bottom w:val="single" w:sz="6" w:space="4" w:color="D9E2EC"/>
      </w:pBdr>
    </w:pPr>
    <w:r>
      <w:rPr>
        <w:rFonts w:ascii="Calibri" w:hAnsi="Calibri"/>
        <w:b/>
        <w:color w:val="556478"/>
        <w:sz w:val="18"/>
      </w:rPr>
      <w:t>MODERN DATA ENGINEERING  |  QUICK RECAP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422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Quick Recap - Modern Data Engineering Week 1 Day 1</dc:title>
  <dc:subject>On-prem Ubuntu Medallion pipeline training</dc:subject>
  <dc:creator>Technical Training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