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5 Recap: Designing Robust Data Ingestion</w:t>
      </w:r>
    </w:p>
    <w:p>
      <w:r>
        <w:rPr>
          <w:b/>
        </w:rPr>
        <w:t>Summary</w:t>
      </w:r>
    </w:p>
    <w:p>
      <w:r>
        <w:t>Day 5 focused on building production-grade ingestion pipelines that consume data from multiple sources and maintain quality and reliability.  You learned the importance of idempotency, ordering, deduplication, replayability and auditability when designing ingestion systems.</w:t>
      </w:r>
    </w:p>
    <w:p>
      <w:r>
        <w:t>Multi‑source ingestion architectures were explored.  You combined CDC streams from relational databases with real‑time clickstream data and batch CSV files.  We discussed how to partition topics by a meaningful key (e.g. order ID) to preserve order and facilitate deduplication.</w:t>
      </w:r>
    </w:p>
    <w:p>
      <w:r>
        <w:t>Schema management and evolution were emphasised as contracts between producers and consumers.  You compared Avro, JSON Schema and Protobuf, learned how Schema Registry manages versions and compatibility (backward, forward and full), and practiced classifying safe and breaking changes.</w:t>
      </w:r>
    </w:p>
    <w:p>
      <w:r>
        <w:t>Handling bad data through validation and Dead Letter Queues (DLQ) is critical.  You designed DLQ topics to isolate poison messages and record enough context to reprocess them later.  Monitoring DLQ volume can serve as a health indicator for your pipelines.</w:t>
      </w:r>
    </w:p>
    <w:p>
      <w:r>
        <w:t>Delivery guarantees (at‑most‑once, at‑least‑once, exactly‑once) were compared.  Exactly‑once semantics require idempotent producers and transactions, while many pipelines opt for at‑least‑once with idempotent consumers.  Late and out‑of‑order events were managed using event‑time, watermarks and grace periods.</w:t>
      </w:r>
    </w:p>
    <w:p>
      <w:r>
        <w:t>In the lab, you deployed a Kafka stack with PostgreSQL, MySQL, Debezium connectors, Schema Registry and Kafka UI.  You registered connectors to capture changes, produced clickstream and CSV events, configured a DLQ, and consumed data to verify correctness.  You practiced schema evolution and observed invalid records flowing to the DLQ.</w:t>
      </w:r>
    </w:p>
    <w:p/>
    <w:p>
      <w:r>
        <w:rPr>
          <w:b/>
        </w:rPr>
        <w:t>Looking Ahead</w:t>
      </w:r>
    </w:p>
    <w:p>
      <w:r>
        <w:t>Day 6 will cover data transformation and enrichment using Apache Hop.  We will build pipelines that read the raw data ingested today, transform it into analytics-ready formats and apply business logic.  Reflect on how the ingestion principles you learned can support downstream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