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/>
        </w:rPr>
      </w:pPr>
      <w:r>
        <w:rPr>
          <w:rFonts w:ascii="Calibri" w:hAnsi="Calibri"/>
          <w:b/>
          <w:color w:val="0C1220"/>
          <w:sz w:val="40"/>
        </w:rPr>
        <w:t>Day 5 Lab Guide: Client-Ready Ingestion and Medallion Pipeline</w:t>
      </w:r>
    </w:p>
    <w:p>
      <w:pPr>
        <w:pStyle w:val="Normal"/>
        <w:jc w:val="center"/>
        <w:rPr>
          <w:rFonts w:ascii="Calibri" w:hAnsi="Calibri"/>
        </w:rPr>
      </w:pPr>
      <w:r>
        <w:rPr>
          <w:rFonts w:ascii="Calibri" w:hAnsi="Calibri"/>
          <w:i/>
        </w:rPr>
        <w:t>Data Ingestion Pipelines | Bronze, Silver, Gold | Schema Evolution | DLQ | Replay</w:t>
      </w:r>
    </w:p>
    <w:p>
      <w:pPr>
        <w:pStyle w:val="Heading1"/>
        <w:rPr>
          <w:rFonts w:ascii="Calibri" w:hAnsi="Calibri"/>
        </w:rPr>
      </w:pPr>
      <w:r>
        <w:rPr>
          <w:rFonts w:ascii="Calibri" w:hAnsi="Calibri"/>
        </w:rPr>
        <w:t>What Students Will Build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Students build and validate a practical ingestion flow that lands raw CDC, clickstream, and batch records in Bronze; deduplicates, validates, and models data in Silver; and publishes business-ready Gold outputs.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The optional integration stack remains available for Kafka, Debezium, Connect, Schema Registry, PostgreSQL, MySQL, and Kafka UI.</w:t>
      </w:r>
    </w:p>
    <w:tbl>
      <w:tblPr>
        <w:tblStyle w:val="TableGrid"/>
        <w:tblW w:w="99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  <w:shd w:fill="E7F3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Area</w:t>
            </w:r>
          </w:p>
        </w:tc>
        <w:tc>
          <w:tcPr>
            <w:tcW w:w="3312" w:type="dxa"/>
            <w:tcBorders/>
            <w:shd w:fill="E7F3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Local proof path</w:t>
            </w:r>
          </w:p>
        </w:tc>
        <w:tc>
          <w:tcPr>
            <w:tcW w:w="3312" w:type="dxa"/>
            <w:tcBorders/>
            <w:shd w:fill="E7F3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Integration path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Bronze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outputs/bronze/*.json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Kafka topics with raw event payloads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Silver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outputs/silver/*.csv and quality JSON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Validation processors or stream jobs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Gold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outputs/gold/*.csv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BI-ready views, dashboards, and downstream products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QA proof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python run_day5_lab_tests.py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kern w:val="0"/>
                <w:szCs w:val="22"/>
                <w:lang w:val="en-US" w:eastAsia="en-US" w:bidi="ar-SA"/>
              </w:rPr>
              <w:t>docker compose config and optional stack validation</w:t>
            </w:r>
          </w:p>
        </w:tc>
      </w:tr>
    </w:tbl>
    <w:p>
      <w:pPr>
        <w:pStyle w:val="Heading1"/>
        <w:rPr>
          <w:rFonts w:ascii="Calibri" w:hAnsi="Calibri"/>
        </w:rPr>
      </w:pPr>
      <w:r>
        <w:rPr>
          <w:rFonts w:ascii="Calibri" w:hAnsi="Calibri"/>
        </w:rPr>
        <w:t>Prerequisites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Python 3.10 or later.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Docker Desktop or Docker Engine if running the optional Kafka/Debezium integration stack.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A terminal that can run docker compose, curl, python, and common shell commands.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Lab folder: Week_01/Day_05/Lab_Files.</w:t>
      </w:r>
    </w:p>
    <w:p>
      <w:pPr>
        <w:pStyle w:val="Heading1"/>
        <w:rPr>
          <w:rFonts w:ascii="Calibri" w:hAnsi="Calibri"/>
        </w:rPr>
      </w:pPr>
      <w:r>
        <w:rPr>
          <w:rFonts w:ascii="Calibri" w:hAnsi="Calibri"/>
        </w:rPr>
        <w:t>Slide Topic Map for the Lab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0"/>
        </w:rPr>
        <w:t>Use this map before running commands so learners can connect the slide theory to the files, Kafka topics, and outputs they will inspect.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kern w:val="0"/>
                <w:sz w:val="16"/>
                <w:szCs w:val="22"/>
                <w:lang w:val="en-US" w:eastAsia="en-US" w:bidi="ar-SA"/>
              </w:rPr>
              <w:t>Slide concept</w:t>
            </w:r>
          </w:p>
        </w:tc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kern w:val="0"/>
                <w:sz w:val="16"/>
                <w:szCs w:val="22"/>
                <w:lang w:val="en-US" w:eastAsia="en-US" w:bidi="ar-SA"/>
              </w:rPr>
              <w:t>Lab exercise</w:t>
            </w:r>
          </w:p>
        </w:tc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kern w:val="0"/>
                <w:sz w:val="16"/>
                <w:szCs w:val="22"/>
                <w:lang w:val="en-US" w:eastAsia="en-US" w:bidi="ar-SA"/>
              </w:rPr>
              <w:t>File or Kafka topic</w:t>
            </w:r>
          </w:p>
        </w:tc>
        <w:tc>
          <w:tcPr>
            <w:tcW w:w="24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/>
                <w:kern w:val="0"/>
                <w:sz w:val="16"/>
                <w:szCs w:val="22"/>
                <w:lang w:val="en-US" w:eastAsia="en-US" w:bidi="ar-SA"/>
              </w:rPr>
              <w:t>What students prove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Kafka topics, keys, ordering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Exercises 2-3; optional container path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input/orders_cdc.json; northstar.orders.public.orders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Order events use order_id so state changes can be replayed in order.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Late-arriving records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Exercises 2 and 8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input/clickstream_events.json; northstar.clickstream.events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Event time can be older than ingestion time; arrival order is not business order.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DLQ and quarantine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 5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outputs/quarantine/dlq_logistics.json; northstar.ingestion.dlq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Invalid rows keep original record plus error reason instead of blocking valid data.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Schema evolution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 6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input/schema_change_proposals.json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Breaking contract changes are rejected before consumers fail.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Bronze, Silver, Gold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Exercises 3-8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outputs/bronze; outputs/silver; outputs/gold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alibri" w:hAnsi="Calibri"/>
                <w:b w:val="false"/>
                <w:kern w:val="0"/>
                <w:sz w:val="15"/>
                <w:szCs w:val="22"/>
                <w:lang w:val="en-US" w:eastAsia="en-US" w:bidi="ar-SA"/>
              </w:rPr>
              <w:t>Raw evidence, trusted records and reportable KPIs stay traceable.</w:t>
            </w:r>
          </w:p>
        </w:tc>
      </w:tr>
    </w:tbl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1 - Validate the lab workspace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Confirm the client-ready lab folder, Docker Compose file, and one-command proof runner are available.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Production ingestion labs fail quickly when learners start from the wrong folder. This first exercise creates a repeatable starting point.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 xml:space="preserve">      </w:t>
      </w:r>
      <w:r>
        <w:rPr>
          <w:rFonts w:ascii="Calibri" w:hAnsi="Calibri"/>
          <w:color w:val="263242"/>
          <w:sz w:val="18"/>
        </w:rPr>
        <w:t>cd Week_01/Day_05/Lab_Files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 xml:space="preserve">        </w:t>
      </w:r>
      <w:r>
        <w:rPr>
          <w:rFonts w:ascii="Calibri" w:hAnsi="Calibri"/>
          <w:color w:val="263242"/>
          <w:sz w:val="18"/>
        </w:rPr>
        <w:t>docker compose up -d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cd Week_01/Day_05/Lab_Files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run_day5_lab_tests.py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The proof runner prints PASS lines for Bronze events, duplicate quarantine, DLQ records, Gold KPIs, schema decisions, and docker compose config.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Which command proves the Docker Compose file is valid without starting Kafka?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docker compose config. The proof runner already executes it, but running it directly is useful when troubleshooting YAML edits.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2 - Inspect event contracts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Read the CDC, clickstream, logistics, and schema proposal inputs before processing them.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Day 5 is about ingestion design. Before writing transformations, identify keys, payload fields, event time, source metadata, and fields used for validation.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-m json.tool input/schema_change_proposals.json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</w:rPr>
        <w:t>python -m json.tool input/orders_cdc.json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The CDC records include event_id, op, order_id, source_lsn, and order_ts. Schema proposals show ACCEPT/REJECT style decisions.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Fill in the blank: For order events, the partition key should usually be ____.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order_id. It keeps events for one order together so consumers can apply updates in order.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3 - Load Bronze without changing source fidelity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Create raw Bronze files with ingestion metadata and record hashes.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Bronze keeps raw data append-friendly and replayable. It should add metadata without hiding malformed or duplicate source records.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bronze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</w:rPr>
        <w:t>python -m json.tool outputs/bronze/orders_cdc.json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orders_bronze=7, clickstream_bronze=4, logistics_bronze=4, and Bronze rows include _bronze_loaded_at plus _record_hash.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Why should the missing shipment_id row still land in Bronze?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Bronze is the audit/replay layer. Rejecting the row too early would erase evidence needed to fix or replay the source batch.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4 - Build Silver current-state orders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Deduplicate CDC events and materialize the latest non-deleted order state.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Silver turns raw CDC events into trustworthy working data. The duplicate event_id is quarantined, delete events remove current state, and source_lsn controls ordering.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"import csv; print(list(csv.DictReader(open('outputs/silver/orders_current.csv'))))"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</w:rPr>
        <w:t>Expected output: Two current orders remain: 1001 SHIPPED and 1002 PAID. One duplicate event is written to outputs/quarantine/duplicate_events.json.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Match the field to its purpose: event_id, source_lsn, op.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event_id = deduplication key; source_lsn = source ordering/watermark point; op = create/update/delete/read action.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5 - Route logistics failures to a DLQ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Separate valid shipment records from malformed or referentially invalid records.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The lab treats business validation failures as quarantine records. Valid rows continue; invalid rows carry error context and the original record.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</w:rPr>
        <w:t>python -m json.tool outputs/quarantine/dlq_logistics.json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Two DLQ records appear: one missing shipment_id and one unknown order_id.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Should the unknown order_id row be silently dropped?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No. It should be quarantined with the reason so the source owner can correct the batch or the pipeline can replay after the order arrives.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6 - Classify schema evolution proposals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Use compatibility thinking to decide which contract changes are safe.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Schema evolution is a production guardrail. The lab stores a small decision file that mirrors the type of compatibility review teams do before changing event contracts.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-m json.tool outputs/silver/schema_change_decisions.json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The optional customer_tier addition is accepted, order_id rename is rejected, and optional coupon_code removal is accepted with a backward-focused policy.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Multiple choice: Renaming order_id to id is safe because the meaning is the same. A) True B) False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B) False. Consumers read field names, not intentions. Use aliases or dual fields during a migration.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7 - Create dimensions and facts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Build a customer dimension and order fact table from Silver records.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Medallion pipelines often start dimensional modeling in Silver and serve aggregated views in Gold. This keeps BI logic consistent.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"import csv; print(list(csv.DictReader(open('outputs/silver/dim_customer.csv')))); print(list(csv.DictReader(open('outputs/silver/fact_orders.csv'))))"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dim_customer includes customer attributes. fact_orders includes order_id, order_date, customer_key, region, status, and amount.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Classify: customer_tier belongs in a dimension or fact?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Dimension. It describes the customer entity and can be joined to order facts for analysis.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8 - Publish Gold KPIs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Create business-ready Gold summaries for daily revenue, region orders, and clickstream activity.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Gold tables answer business questions. They should be small, named clearly, and built from validated Silver data.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"import csv; print(list(csv.DictReader(open('outputs/gold/daily_order_kpis.csv'))))"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The daily KPI has 2 paid/shipped orders and recognized_revenue of 195.50.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Fill in the blank: Gold should be optimized for ____ users and dashboards.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business. Gold aligns measures, grain, and labels with reporting needs.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>Exercise 9 - Replay after fixing a bad record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Objective: </w:t>
      </w:r>
      <w:r>
        <w:rPr>
          <w:rFonts w:ascii="Calibri" w:hAnsi="Calibri"/>
        </w:rPr>
        <w:t>Practice replayability by correcting a logistics row and rerunning the pipeline.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Explanation: </w:t>
      </w:r>
      <w:r>
        <w:rPr>
          <w:rFonts w:ascii="Calibri" w:hAnsi="Calibri"/>
        </w:rPr>
        <w:t>In production, DLQ replay should be deliberate. Fix the source record, rerun, and compare quality counts so the team can prove the defect is closed.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"from pathlib import Path; p=Path('input/logistics_batch.csv'); s=p.read_text(); p.write_text(s.replace(',1003,BlueDart,CREATED','SHP-9003,1001,BlueDart,CREATED'))"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medallion_pipeline.py all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-m json.tool outputs/silver/data_quality_report.json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# Restore the original lab data and rerun the proof baseline: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-c "from pathlib import Path; p=Path('input/logistics_batch.csv'); s=p.read_text(); p.write_text(s.replace('SHP-9003,1001,BlueDart,CREATED',',1003,BlueDart,CREATED'))"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run_day5_lab_tests.py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While the corrected row is active, dlq_records drops from 2 to 1 and valid_shipments rises from 2 to 3. After restoring the file, the proof runner returns to the validated baseline.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Why compare quality counts before and after replay?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It proves the correction changed the pipeline outcome. In a real team, update expected counts only after approving the replay result.</w:t>
      </w:r>
    </w:p>
    <w:p>
      <w:pPr>
        <w:pStyle w:val="Heading2"/>
        <w:rPr>
          <w:rFonts w:ascii="Calibri" w:hAnsi="Calibri"/>
        </w:rPr>
      </w:pPr>
      <w:r>
        <w:rPr>
          <w:rFonts w:ascii="Calibri" w:hAnsi="Calibri"/>
        </w:rPr>
        <w:t xml:space="preserve">Exercise 10 - Clean up 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Commands: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run_day5_lab_tests.py --qa-dir ../../outputs/day5_client_ready_qa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# If you started Kafka/Debezium during the optional integration path: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docker compose down -v</w:t>
      </w:r>
    </w:p>
    <w:p>
      <w:pPr>
        <w:pStyle w:val="Normal"/>
        <w:ind w:start="360"/>
        <w:rPr>
          <w:rFonts w:ascii="Calibri" w:hAnsi="Calibri"/>
        </w:rPr>
      </w:pPr>
      <w:r>
        <w:rPr>
          <w:rFonts w:ascii="Calibri" w:hAnsi="Calibri"/>
          <w:b/>
        </w:rPr>
        <w:t xml:space="preserve">Expected output: </w:t>
      </w:r>
      <w:r>
        <w:rPr>
          <w:rFonts w:ascii="Calibri" w:hAnsi="Calibri"/>
        </w:rPr>
        <w:t>outputs/day5_client_ready_qa/day5_lab_test_run.log contains PASS lines. docker compose down -v removes the optional lab containers and volumes.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Mini exercise: </w:t>
      </w:r>
      <w:r>
        <w:rPr>
          <w:rFonts w:ascii="Calibri" w:hAnsi="Calibri"/>
        </w:rPr>
        <w:t>Which file proves the one-command lab validation was run?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b/>
        </w:rPr>
        <w:t xml:space="preserve">Solution: </w:t>
      </w:r>
      <w:r>
        <w:rPr>
          <w:rFonts w:ascii="Calibri" w:hAnsi="Calibri"/>
        </w:rPr>
        <w:t>outputs/day5_client_ready_qa/day5_lab_test_run.log.</w:t>
      </w:r>
    </w:p>
    <w:p>
      <w:pPr>
        <w:pStyle w:val="Heading1"/>
        <w:rPr>
          <w:rFonts w:ascii="Calibri" w:hAnsi="Calibri"/>
        </w:rPr>
      </w:pPr>
      <w:r>
        <w:rPr>
          <w:rFonts w:ascii="Calibri" w:hAnsi="Calibri"/>
        </w:rPr>
        <w:t>Optional Kafka/Debezium Integration Path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Use this path when class time and machine resources allow the full streaming stack. The core medallion proof above is intentionally lightweight so the day can still be validated quickly.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cd Week_01/Day_05/Lab_Files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docker compose up -d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Create Kafka topics from kafka_topic_manifest.json before registering connectors.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Use the topic creation loop in README.md, or create the topics listed in kafka_topic_manifest.json with docker compose exec kafka kafka-topics.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curl -s http://localhost:8083/connectors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curl -X POST -H "Content-Type: application/json" --data @orders-connector.json http://localhost:8083/connectors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curl -X POST -H "Content-Type: application/json" --data @inventory-connector.json http://localhost:8083/connectors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clickstream_producer.py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python csv_producer.py</w:t>
      </w:r>
    </w:p>
    <w:p>
      <w:pPr>
        <w:pStyle w:val="Normal"/>
        <w:spacing w:before="0" w:after="0"/>
        <w:ind w:start="360"/>
        <w:rPr>
          <w:rFonts w:ascii="Calibri" w:hAnsi="Calibri"/>
        </w:rPr>
      </w:pPr>
      <w:r>
        <w:rPr>
          <w:rFonts w:ascii="Calibri" w:hAnsi="Calibri"/>
          <w:color w:val="263242"/>
          <w:sz w:val="18"/>
        </w:rPr>
        <w:t>docker compose down -v</w:t>
      </w:r>
    </w:p>
    <w:p>
      <w:pPr>
        <w:pStyle w:val="Heading1"/>
        <w:rPr>
          <w:rFonts w:ascii="Calibri" w:hAnsi="Calibri"/>
        </w:rPr>
      </w:pPr>
      <w:r>
        <w:rPr>
          <w:rFonts w:ascii="Calibri" w:hAnsi="Calibri"/>
        </w:rPr>
        <w:t>Assessment Checklist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identify event keys, payload, metadata, and event time.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explain why Bronze keeps malformed rows for audit and replay.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show Silver deduplication, validation, dimensions, facts, and schema decisions.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explain DLQ versus retry versus quarantine.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prove Gold KPIs came from validated Silver records.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  <w:t>Can run the one-command proof runner and locate the proof log.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before="0" w:after="20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152" w:right="1152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C12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74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LibreOffice/25.8.6.2$Windows_X86_64 LibreOffice_project/b4b39682cd9868fa725bc664aff94278d315bd04</Application>
  <AppVersion>15.0000</AppVersion>
  <Pages>6</Pages>
  <Words>1434</Words>
  <Characters>9792</Characters>
  <CharactersWithSpaces>11073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2026-06-05T08:50:42Z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