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a14="http://schemas.microsoft.com/office/drawing/2010/main" xmlns:a="http://schemas.openxmlformats.org/drawingml/2006/main" xmlns:pic="http://schemas.openxmlformats.org/drawingml/2006/picture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de2ecfeaa983408b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bidi w:val="0"/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412b4d66978c4924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pStyle w:val="Title"/>
        <w:spacing w:before="240" w:after="120"/>
        <w:rPr>
          <w:rFonts w:ascii="Bariol Bold" w:hAnsi="Bariol Bold"/>
          <w:lang w:val="es-ES"/>
        </w:rPr>
      </w:pPr>
      <w:r>
        <w:rPr>
          <w:lang w:val="es-ES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-205105</wp:posOffset>
            </wp:positionH>
            <wp:positionV relativeFrom="paragraph">
              <wp:posOffset>-628015</wp:posOffset>
            </wp:positionV>
            <wp:extent cx="3016250" cy="974090"/>
            <wp:effectExtent l="0" t="0" r="0" b="0"/>
            <wp:wrapSquare wrapText="largest"/>
            <wp:docPr id="1" name="Imat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419" r="8562" b="2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974090"/>
                    </a:xfrm>
                    <a:prstGeom prst="rect">
                      <a:avLst/>
                    </a:prstGeom>
                    <a:ln w="12700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itle"/>
        <w:rPr>
          <w:rFonts w:ascii="Bariol Regular" w:hAnsi="Bariol Regular"/>
          <w:color w:val="006E71"/>
          <w:lang w:val="es-ES"/>
        </w:rPr>
      </w:pPr>
      <w:r>
        <w:rPr>
          <w:rFonts w:ascii="Bariol Regular" w:hAnsi="Bariol Regular"/>
          <w:color w:val="006E71"/>
          <w:lang w:val="es-ES"/>
        </w:rPr>
        <w:t xml:space="preserve">Data Management Plan </w:t>
      </w:r>
    </w:p>
    <w:p>
      <w:pPr>
        <w:pStyle w:val="Title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for research projects</w:t>
      </w:r>
    </w:p>
    <w:p>
      <w:pPr>
        <w:pStyle w:val="BodyText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5"/>
        <w:gridCol w:w="1585"/>
        <w:gridCol w:w="2616"/>
        <w:gridCol w:w="2771"/>
      </w:tblGrid>
      <w:tr>
        <w:trPr>
          <w:trHeight w:val="390" w:hRule="atLeast"/>
        </w:trPr>
        <w:tc>
          <w:tcPr>
            <w:tcW w:w="2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>
            <w:pPr>
              <w:pStyle w:val="Heading2"/>
              <w:numPr>
                <w:ilvl w:val="0"/>
                <w:numId w:val="0"/>
              </w:numPr>
              <w:spacing w:before="0" w:after="0"/>
              <w:ind w:start="397" w:end="0" w:hanging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Project</w:t>
            </w:r>
          </w:p>
        </w:tc>
        <w:tc>
          <w:tcPr>
            <w:tcW w:w="697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Contenidodelatabla"/>
              <w:rPr>
                <w:rFonts w:ascii="Bariol Bold" w:hAnsi="Bariol Bold" w:eastAsia="Microsoft YaHei" w:cs="Lucida Sans"/>
                <w:sz w:val="24"/>
                <w:szCs w:val="24"/>
                <w:lang w:val="es-ES"/>
              </w:rPr>
            </w:pPr>
            <w:r>
              <w:rPr>
                <w:rFonts w:ascii="Bariol Bold" w:hAnsi="Bariol Bold" w:eastAsia="Microsoft YaHei" w:cs="Lucida Sans"/>
                <w:sz w:val="24"/>
                <w:szCs w:val="24"/>
                <w:lang w:val="es-ES"/>
              </w:rPr>
            </w:r>
          </w:p>
        </w:tc>
      </w:tr>
      <w:tr>
        <w:trPr>
          <w:trHeight w:val="390" w:hRule="atLeast"/>
        </w:trPr>
        <w:tc>
          <w:tcPr>
            <w:tcW w:w="2665" w:type="dxa"/>
            <w:tcBorders>
              <w:left w:val="single" w:color="000000" w:sz="2" w:space="0"/>
              <w:bottom w:val="single" w:color="000000" w:sz="2" w:space="0"/>
            </w:tcBorders>
            <w:vAlign w:val="center"/>
          </w:tcPr>
          <w:p>
            <w:pPr>
              <w:pStyle w:val="Heading2"/>
              <w:numPr>
                <w:ilvl w:val="0"/>
                <w:numId w:val="0"/>
              </w:numPr>
              <w:spacing w:before="0" w:after="0"/>
              <w:ind w:start="397" w:end="0" w:hanging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Reference</w:t>
            </w:r>
          </w:p>
        </w:tc>
        <w:tc>
          <w:tcPr>
            <w:tcW w:w="6972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Contenidodelatabla"/>
              <w:rPr>
                <w:rFonts w:ascii="Bariol Bold" w:hAnsi="Bariol Bold" w:eastAsia="Microsoft YaHei" w:cs="Lucida Sans"/>
                <w:sz w:val="24"/>
                <w:szCs w:val="24"/>
                <w:lang w:val="es-ES"/>
              </w:rPr>
            </w:pPr>
            <w:r>
              <w:rPr>
                <w:rFonts w:ascii="Bariol Bold" w:hAnsi="Bariol Bold" w:eastAsia="Microsoft YaHei" w:cs="Lucida Sans"/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tcW w:w="2665" w:type="dxa"/>
            <w:tcBorders>
              <w:left w:val="single" w:color="000000" w:sz="2" w:space="0"/>
              <w:bottom w:val="single" w:color="000000" w:sz="2" w:space="0"/>
            </w:tcBorders>
            <w:vAlign w:val="center"/>
          </w:tcPr>
          <w:p>
            <w:pPr>
              <w:pStyle w:val="Heading2"/>
              <w:numPr>
                <w:ilvl w:val="0"/>
                <w:numId w:val="0"/>
              </w:numPr>
              <w:spacing w:before="0" w:after="0"/>
              <w:ind w:start="397" w:end="0" w:hanging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Principal Investigator</w:t>
            </w:r>
          </w:p>
        </w:tc>
        <w:tc>
          <w:tcPr>
            <w:tcW w:w="6972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Contenidodelatabla"/>
              <w:rPr>
                <w:rFonts w:ascii="Bariol Bold" w:hAnsi="Bariol Bold" w:eastAsia="Microsoft YaHei" w:cs="Lucida Sans"/>
                <w:sz w:val="24"/>
                <w:szCs w:val="24"/>
                <w:lang w:val="es-ES"/>
              </w:rPr>
            </w:pPr>
            <w:r>
              <w:rPr>
                <w:rFonts w:ascii="Bariol Bold" w:hAnsi="Bariol Bold" w:eastAsia="Microsoft YaHei" w:cs="Lucida Sans"/>
                <w:sz w:val="24"/>
                <w:szCs w:val="24"/>
                <w:lang w:val="es-ES"/>
              </w:rPr>
            </w:r>
          </w:p>
        </w:tc>
      </w:tr>
      <w:tr>
        <w:trPr>
          <w:trHeight w:val="578" w:hRule="atLeast"/>
        </w:trPr>
        <w:tc>
          <w:tcPr>
            <w:tcW w:w="2665" w:type="dxa"/>
            <w:tcBorders>
              <w:left w:val="single" w:color="000000" w:sz="2" w:space="0"/>
              <w:bottom w:val="single" w:color="000000" w:sz="2" w:space="0"/>
            </w:tcBorders>
            <w:vAlign w:val="center"/>
          </w:tcPr>
          <w:p>
            <w:pPr>
              <w:pStyle w:val="Heading2"/>
              <w:numPr>
                <w:ilvl w:val="0"/>
                <w:numId w:val="0"/>
              </w:numPr>
              <w:spacing w:before="0" w:after="0"/>
              <w:ind w:start="397" w:end="0" w:hanging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Version</w:t>
            </w:r>
          </w:p>
        </w:tc>
        <w:tc>
          <w:tcPr>
            <w:tcW w:w="158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Contenidodelatabla"/>
              <w:rPr>
                <w:rFonts w:ascii="Bariol Bold" w:hAnsi="Bariol Bold" w:eastAsia="Microsoft YaHei" w:cs="Lucida Sans"/>
                <w:sz w:val="24"/>
                <w:szCs w:val="24"/>
                <w:lang w:val="es-ES"/>
              </w:rPr>
            </w:pPr>
            <w:r>
              <w:rPr>
                <w:rFonts w:ascii="Bariol Bold" w:hAnsi="Bariol Bold" w:eastAsia="Microsoft YaHei" w:cs="Lucida Sans"/>
                <w:sz w:val="24"/>
                <w:szCs w:val="24"/>
                <w:lang w:val="es-ES"/>
              </w:rPr>
            </w:r>
          </w:p>
        </w:tc>
        <w:tc>
          <w:tcPr>
            <w:tcW w:w="2616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Contenidodelatabla"/>
              <w:rPr>
                <w:rFonts w:ascii="Bariol Regular" w:hAnsi="Bariol Regular" w:eastAsia="Microsoft YaHei" w:cs="Lucida Sans"/>
                <w:b/>
                <w:bCs w:val="false"/>
                <w:i/>
                <w:i/>
                <w:iCs/>
                <w:color w:val="006E71"/>
                <w:sz w:val="28"/>
                <w:szCs w:val="28"/>
                <w:u w:val="single"/>
                <w:lang w:val="es-ES"/>
              </w:rPr>
            </w:pPr>
            <w:r>
              <w:rPr>
                <w:rFonts w:ascii="Bariol Regular" w:hAnsi="Bariol Regular" w:eastAsia="Microsoft YaHei" w:cs="Lucida Sans"/>
                <w:b/>
                <w:bCs w:val="false"/>
                <w:i/>
                <w:iCs/>
                <w:color w:val="006E71"/>
                <w:sz w:val="28"/>
                <w:szCs w:val="28"/>
                <w:u w:val="single"/>
                <w:lang w:val="es-ES"/>
              </w:rPr>
              <w:t xml:space="preserve">Version date</w:t>
            </w:r>
          </w:p>
        </w:tc>
        <w:tc>
          <w:tcPr>
            <w:tcW w:w="277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Contenidodelatabla"/>
              <w:rPr>
                <w:rFonts w:ascii="Bariol Bold" w:hAnsi="Bariol Bold" w:eastAsia="Microsoft YaHei" w:cs="Lucida Sans"/>
                <w:sz w:val="24"/>
                <w:szCs w:val="24"/>
                <w:lang w:val="es-ES"/>
              </w:rPr>
            </w:pPr>
            <w:r>
              <w:rPr>
                <w:rFonts w:ascii="Bariol Bold" w:hAnsi="Bariol Bold" w:eastAsia="Microsoft YaHei" w:cs="Lucida Sans"/>
                <w:sz w:val="24"/>
                <w:szCs w:val="24"/>
                <w:lang w:val="es-ES"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-3896360</wp:posOffset>
                  </wp:positionV>
                  <wp:extent cx="1434465" cy="1219835"/>
                  <wp:effectExtent l="0" t="0" r="0" b="0"/>
                  <wp:wrapSquare wrapText="largest"/>
                  <wp:docPr id="2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465" cy="121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Heading3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BodyTex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Heading3"/>
        <w:rPr>
          <w:lang w:val="es-ES"/>
        </w:rPr>
      </w:pPr>
      <w:r>
        <w:rPr>
          <w:lang w:val="es-ES"/>
        </w:rPr>
        <w:t xml:space="preserve">CHANGELOG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W w:w="9638" w:type="dxa"/>
        <w:jc w:val="left"/>
        <w:tblInd w:w="-1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9"/>
        <w:gridCol w:w="3042"/>
        <w:gridCol w:w="3873"/>
        <w:gridCol w:w="1773"/>
      </w:tblGrid>
      <w:tr>
        <w:trPr/>
        <w:tc>
          <w:tcPr>
            <w:tcW w:w="94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shd w:val="clear" w:fill="E6E6E6"/>
            <w:vAlign w:val="center"/>
          </w:tcPr>
          <w:p>
            <w:pPr>
              <w:pStyle w:val="Contenidodelatabla"/>
              <w:jc w:val="center"/>
              <w:rPr>
                <w:rFonts w:ascii="Bariol Regular" w:hAnsi="Bariol Regular" w:eastAsia="Microsoft YaHei" w:cs="Lucida Sans"/>
                <w:b/>
                <w:bCs w:val="false"/>
                <w:i/>
                <w:i/>
                <w:iCs/>
                <w:color w:val="006E71"/>
                <w:sz w:val="28"/>
                <w:szCs w:val="28"/>
                <w:u w:val="single"/>
                <w:lang w:val="es-ES"/>
              </w:rPr>
            </w:pPr>
            <w:r>
              <w:rPr>
                <w:rFonts w:ascii="Bariol Regular" w:hAnsi="Bariol Regular" w:eastAsia="Microsoft YaHei" w:cs="Lucida Sans"/>
                <w:b/>
                <w:bCs w:val="false"/>
                <w:i/>
                <w:iCs/>
                <w:color w:val="006E71"/>
                <w:sz w:val="28"/>
                <w:szCs w:val="28"/>
                <w:u w:val="single"/>
                <w:lang w:val="es-ES"/>
              </w:rPr>
              <w:t xml:space="preserve">Version</w:t>
            </w:r>
          </w:p>
        </w:tc>
        <w:tc>
          <w:tcPr>
            <w:tcW w:w="304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shd w:val="clear" w:fill="E6E6E6"/>
            <w:vAlign w:val="center"/>
          </w:tcPr>
          <w:p>
            <w:pPr>
              <w:pStyle w:val="Contenidodelatabla"/>
              <w:jc w:val="center"/>
              <w:rPr>
                <w:rFonts w:ascii="Bariol Regular" w:hAnsi="Bariol Regular" w:eastAsia="Microsoft YaHei" w:cs="Lucida Sans"/>
                <w:b/>
                <w:bCs w:val="false"/>
                <w:i/>
                <w:i/>
                <w:iCs/>
                <w:color w:val="006E71"/>
                <w:sz w:val="28"/>
                <w:szCs w:val="28"/>
                <w:u w:val="single"/>
                <w:lang w:val="es-ES"/>
              </w:rPr>
            </w:pPr>
            <w:r>
              <w:rPr>
                <w:rFonts w:ascii="Bariol Regular" w:hAnsi="Bariol Regular" w:eastAsia="Microsoft YaHei" w:cs="Lucida Sans"/>
                <w:b/>
                <w:bCs w:val="false"/>
                <w:i/>
                <w:iCs/>
                <w:color w:val="006E71"/>
                <w:sz w:val="28"/>
                <w:szCs w:val="28"/>
                <w:u w:val="single"/>
                <w:lang w:val="es-ES"/>
              </w:rPr>
              <w:t xml:space="preserve">Changes made</w:t>
            </w:r>
          </w:p>
        </w:tc>
        <w:tc>
          <w:tcPr>
            <w:tcW w:w="387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shd w:val="clear" w:fill="E6E6E6"/>
            <w:vAlign w:val="center"/>
          </w:tcPr>
          <w:p>
            <w:pPr>
              <w:pStyle w:val="Contenidodelatabla"/>
              <w:jc w:val="center"/>
              <w:rPr>
                <w:rFonts w:ascii="Bariol Regular" w:hAnsi="Bariol Regular" w:eastAsia="Microsoft YaHei" w:cs="Lucida Sans"/>
                <w:b/>
                <w:bCs w:val="false"/>
                <w:i/>
                <w:i/>
                <w:iCs/>
                <w:color w:val="006E71"/>
                <w:sz w:val="28"/>
                <w:szCs w:val="28"/>
                <w:u w:val="single"/>
                <w:lang w:val="es-ES"/>
              </w:rPr>
            </w:pPr>
            <w:r>
              <w:rPr>
                <w:rFonts w:ascii="Bariol Regular" w:hAnsi="Bariol Regular" w:eastAsia="Microsoft YaHei" w:cs="Lucida Sans"/>
                <w:b/>
                <w:bCs w:val="false"/>
                <w:i/>
                <w:iCs/>
                <w:color w:val="006E71"/>
                <w:sz w:val="28"/>
                <w:szCs w:val="28"/>
                <w:u w:val="single"/>
                <w:lang w:val="es-ES"/>
              </w:rPr>
              <w:t xml:space="preserve">Author</w:t>
            </w:r>
          </w:p>
        </w:tc>
        <w:tc>
          <w:tcPr>
            <w:tcW w:w="177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fill="E6E6E6"/>
            <w:vAlign w:val="center"/>
          </w:tcPr>
          <w:p>
            <w:pPr>
              <w:pStyle w:val="Contenidodelatabla"/>
              <w:jc w:val="center"/>
              <w:rPr>
                <w:rFonts w:ascii="Bariol Regular" w:hAnsi="Bariol Regular" w:eastAsia="Microsoft YaHei" w:cs="Lucida Sans"/>
                <w:b/>
                <w:bCs w:val="false"/>
                <w:i/>
                <w:i/>
                <w:iCs/>
                <w:color w:val="006E71"/>
                <w:sz w:val="28"/>
                <w:szCs w:val="28"/>
                <w:u w:val="single"/>
                <w:lang w:val="es-ES"/>
              </w:rPr>
            </w:pPr>
            <w:r>
              <w:rPr>
                <w:rFonts w:ascii="Bariol Regular" w:hAnsi="Bariol Regular" w:eastAsia="Microsoft YaHei" w:cs="Lucida Sans"/>
                <w:b/>
                <w:bCs w:val="false"/>
                <w:i/>
                <w:iCs/>
                <w:color w:val="006E71"/>
                <w:sz w:val="28"/>
                <w:szCs w:val="28"/>
                <w:u w:val="single"/>
                <w:lang w:val="es-ES"/>
              </w:rPr>
              <w:t xml:space="preserve">Date</w:t>
            </w:r>
          </w:p>
        </w:tc>
      </w:tr>
      <w:tr>
        <w:trPr/>
        <w:tc>
          <w:tcPr>
            <w:tcW w:w="949" w:type="dxa"/>
            <w:tcBorders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0100</w:t>
            </w:r>
          </w:p>
        </w:tc>
        <w:tc>
          <w:tcPr>
            <w:tcW w:w="3042" w:type="dxa"/>
            <w:tcBorders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Initial version</w:t>
            </w:r>
          </w:p>
        </w:tc>
        <w:tc>
          <w:tcPr>
            <w:tcW w:w="3873" w:type="dxa"/>
            <w:tcBorders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pStyle w:val="Contenidodelatabla"/>
              <w:rPr>
                <w:b w:val="false"/>
                <w:bCs w:val="false"/>
                <w:lang w:val="es-ES"/>
              </w:rPr>
            </w:pPr>
            <w:r>
              <w:rPr>
                <w:b w:val="false"/>
                <w:bCs w:val="false"/>
                <w:lang w:val="es-ES"/>
              </w:rPr>
            </w:r>
          </w:p>
        </w:tc>
        <w:tc>
          <w:tcPr>
            <w:tcW w:w="1773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08/5/2023</w:t>
            </w:r>
          </w:p>
        </w:tc>
      </w:tr>
      <w:tr>
        <w:trPr/>
        <w:tc>
          <w:tcPr>
            <w:tcW w:w="949" w:type="dxa"/>
            <w:tcBorders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3042" w:type="dxa"/>
            <w:tcBorders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3873" w:type="dxa"/>
            <w:tcBorders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773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949" w:type="dxa"/>
            <w:tcBorders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3042" w:type="dxa"/>
            <w:tcBorders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3873" w:type="dxa"/>
            <w:tcBorders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773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  <w:r>
        <w:br w:type="page"/>
      </w:r>
    </w:p>
    <w:p>
      <w:pPr>
        <w:pStyle w:val="Heading1"/>
        <w:numPr>
          <w:ilvl w:val="0"/>
          <w:numId w:val="5"/>
        </w:numPr>
        <w:spacing w:before="0" w:after="120"/>
        <w:rPr>
          <w:lang w:val="es-ES"/>
        </w:rPr>
      </w:pPr>
      <w:r>
        <w:rPr>
          <w:lang w:val="es-ES"/>
        </w:rPr>
        <w:t xml:space="preserve">Summary of data</w:t>
      </w:r>
    </w:p>
    <w:p>
      <w:pPr>
        <w:pStyle w:val="Normal"/>
        <w:numPr>
          <w:ilvl w:val="0"/>
          <w:numId w:val="0"/>
        </w:numPr>
        <w:ind w:start="0" w:hanging="0"/>
        <w:rPr>
          <w:i/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 xml:space="preserve">Provide a summary of the data (source, format, type of data, volume) and the planned data processing and modifications (imputation, validation, sampling, quality analysis).</w:t>
      </w:r>
    </w:p>
    <w:p>
      <w:pPr>
        <w:pStyle w:val="Heading1"/>
        <w:rPr/>
      </w:pPr>
      <w:r>
        <w:rPr>
          <w:lang w:val="es-ES"/>
        </w:rPr>
        <w:t xml:space="preserve">FAIR Data</w:t>
      </w:r>
    </w:p>
    <w:p>
      <w:pPr>
        <w:pStyle w:val="Heading2"/>
        <w:ind w:start="397" w:end="0" w:hanging="0"/>
        <w:rPr/>
      </w:pPr>
      <w:r>
        <w:rPr/>
        <w:t xml:space="preserve">FINDABLE (Findable): </w:t>
      </w:r>
    </w:p>
    <w:p>
      <w:pPr>
        <w:pStyle w:val="Normal"/>
        <w:numPr>
          <w:ilvl w:val="0"/>
          <w:numId w:val="0"/>
        </w:numPr>
        <w:ind w:start="0" w:hanging="0"/>
        <w:rPr>
          <w:i/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 xml:space="preserve">Data and metadata can be found by the community after publication, using search tools.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F1. Assign a unique and persistent identifier to data and metadata.</w:t>
      </w:r>
    </w:p>
    <w:p>
      <w:pPr>
        <w:pStyle w:val="BodyText"/>
        <w:rPr/>
      </w:pPr>
      <w:r>
        <w:rPr/>
        <w:t xml:space="preserve">F2. Describe the data with metadata in a neat and tidy way.</w:t>
      </w:r>
    </w:p>
    <w:p>
      <w:pPr>
        <w:pStyle w:val="BodyText"/>
        <w:rPr/>
      </w:pPr>
      <w:r>
        <w:rPr/>
        <w:t xml:space="preserve">F3. Register/Index data and metadata in a search resource</w:t>
      </w:r>
    </w:p>
    <w:p>
      <w:pPr>
        <w:pStyle w:val="BodyText"/>
        <w:rPr/>
      </w:pPr>
      <w:r>
        <w:rPr/>
        <w:t xml:space="preserve">F4. The metadata must specify the identifier of the data being described.</w:t>
      </w:r>
    </w:p>
    <w:p>
      <w:pPr>
        <w:pStyle w:val="Heading2"/>
        <w:ind w:start="397" w:end="0" w:hanging="0"/>
        <w:rPr/>
      </w:pPr>
      <w:r>
        <w:rPr/>
        <w:t xml:space="preserve">ACCESSIBLE: </w:t>
      </w:r>
    </w:p>
    <w:p>
      <w:pPr>
        <w:pStyle w:val="Normal"/>
        <w:rPr>
          <w:i/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 xml:space="preserve">The data and metadata are accessible and can therefore be downloaded by other researchers using their identifiers.</w:t>
      </w:r>
    </w:p>
    <w:p>
      <w:pPr>
        <w:pStyle w:val="Normal"/>
        <w:rPr>
          <w:i/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</w:r>
    </w:p>
    <w:p>
      <w:pPr>
        <w:pStyle w:val="BodyText"/>
        <w:rPr/>
      </w:pPr>
      <w:r>
        <w:rPr/>
        <w:t xml:space="preserve">A1 Data and metadata can be retrieved by their identifiers through standardised communication protocols.</w:t>
      </w:r>
    </w:p>
    <w:p>
      <w:pPr>
        <w:pStyle w:val="BodyText"/>
        <w:rPr/>
      </w:pPr>
      <w:r>
        <w:rPr/>
        <w:t xml:space="preserve">A1.1 Protocols must be open, free and universally implemented.</w:t>
      </w:r>
    </w:p>
    <w:p>
      <w:pPr>
        <w:pStyle w:val="BodyText"/>
        <w:rPr/>
      </w:pPr>
      <w:r>
        <w:rPr/>
        <w:t xml:space="preserve">A1.2 The protocol must allow procedures for authentication and authorisation (if necessary).</w:t>
      </w:r>
    </w:p>
    <w:p>
      <w:pPr>
        <w:pStyle w:val="BodyText"/>
        <w:rPr/>
      </w:pPr>
      <w:r>
        <w:rPr/>
        <w:t xml:space="preserve">A2 Metadata must be accessible, even if the data is no longer available.</w:t>
      </w:r>
    </w:p>
    <w:p>
      <w:pPr>
        <w:pStyle w:val="Heading2"/>
        <w:ind w:start="397" w:end="0" w:hanging="0"/>
        <w:rPr/>
      </w:pPr>
      <w:r>
        <w:rPr/>
        <w:t xml:space="preserve">INTEROPERABLE (Interoperable): </w:t>
      </w:r>
    </w:p>
    <w:p>
      <w:pPr>
        <w:pStyle w:val="Normal"/>
        <w:rPr>
          <w:i/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 xml:space="preserve">Both data and metadata must be described according to the rules of the community, using open standards, to enable sharing and reuse.</w:t>
      </w:r>
    </w:p>
    <w:p>
      <w:pPr>
        <w:pStyle w:val="BodyText"/>
        <w:rPr>
          <w:i/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</w:r>
    </w:p>
    <w:p>
      <w:pPr>
        <w:pStyle w:val="BodyText"/>
        <w:rPr/>
      </w:pPr>
      <w:r>
        <w:rPr/>
        <w:t xml:space="preserve">I1. Data and metadata should use a formal, accessible, sharable and broadly applicable language to represent knowledge</w:t>
      </w:r>
    </w:p>
    <w:p>
      <w:pPr>
        <w:pStyle w:val="BodyText"/>
        <w:rPr/>
      </w:pPr>
      <w:r>
        <w:rPr/>
        <w:t xml:space="preserve">I2. Data and metadata use vocabularies that follow the FAIR principles.</w:t>
      </w:r>
    </w:p>
    <w:p>
      <w:pPr>
        <w:pStyle w:val="BodyText"/>
        <w:rPr/>
      </w:pPr>
      <w:r>
        <w:rPr/>
        <w:t xml:space="preserve">I3. Data and metadata include qualified references to other data or metadata.</w:t>
      </w:r>
    </w:p>
    <w:p>
      <w:pPr>
        <w:pStyle w:val="BodyText"/>
        <w:rPr/>
      </w:pPr>
      <w:r>
        <w:rPr/>
      </w:r>
    </w:p>
    <w:p>
      <w:pPr>
        <w:pStyle w:val="Heading2"/>
        <w:ind w:start="397" w:end="0" w:hanging="0"/>
        <w:rPr/>
      </w:pPr>
      <w:r>
        <w:rPr/>
        <w:t xml:space="preserve">REUSABLE: </w:t>
      </w:r>
    </w:p>
    <w:p>
      <w:pPr>
        <w:pStyle w:val="Normal"/>
        <w:rPr>
          <w:i/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 xml:space="preserve">The data and metadata can be reused by other researchers, as their provenance and the conditions for reuse are clear.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R1. Data and metadata contain a multitude of accurate and relevant attributes.</w:t>
      </w:r>
    </w:p>
    <w:p>
      <w:pPr>
        <w:pStyle w:val="BodyText"/>
        <w:rPr/>
      </w:pPr>
      <w:r>
        <w:rPr/>
        <w:t xml:space="preserve">R1.1. Data and metadata are published with a clear and accessible licence on their use and re-use.</w:t>
      </w:r>
    </w:p>
    <w:p>
      <w:pPr>
        <w:pStyle w:val="BodyText"/>
        <w:rPr/>
      </w:pPr>
      <w:r>
        <w:rPr/>
        <w:t xml:space="preserve">R1.2. Data and metadata is associated with provenance information</w:t>
      </w:r>
    </w:p>
    <w:p>
      <w:pPr>
        <w:pStyle w:val="BodyText"/>
        <w:rPr/>
      </w:pPr>
      <w:r>
        <w:rPr/>
        <w:t xml:space="preserve">R1.3. Data and metadata follow the relevant standards used by the community of the particular domain.</w:t>
      </w:r>
    </w:p>
    <w:p>
      <w:pPr>
        <w:pStyle w:val="Heading1"/>
        <w:rPr>
          <w:lang w:val="es-ES"/>
        </w:rPr>
      </w:pPr>
      <w:r>
        <w:rPr>
          <w:lang w:val="es-ES"/>
        </w:rPr>
        <w:t xml:space="preserve">Allocation of resources</w:t>
      </w:r>
    </w:p>
    <w:p>
      <w:pPr>
        <w:pStyle w:val="Normal"/>
        <w:numPr>
          <w:ilvl w:val="0"/>
          <w:numId w:val="0"/>
        </w:numPr>
        <w:ind w:start="0" w:hanging="0"/>
        <w:rPr>
          <w:i/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 xml:space="preserve">Explain resource allocation</w:t>
      </w:r>
    </w:p>
    <w:p>
      <w:pPr>
        <w:pStyle w:val="Heading1"/>
        <w:rPr>
          <w:lang w:val="es-ES"/>
        </w:rPr>
      </w:pPr>
      <w:r>
        <w:rPr>
          <w:lang w:val="es-ES"/>
        </w:rPr>
        <w:t xml:space="preserve">Data security</w:t>
      </w:r>
    </w:p>
    <w:p>
      <w:pPr>
        <w:pStyle w:val="Normal"/>
        <w:numPr>
          <w:ilvl w:val="0"/>
          <w:numId w:val="0"/>
        </w:numPr>
        <w:ind w:start="0" w:hanging="0"/>
        <w:rPr>
          <w:i/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 xml:space="preserve">Address data recovery, access control (who, how and when access will be granted), version control, secure storage and transfer of sensitive data.</w:t>
      </w:r>
    </w:p>
    <w:p>
      <w:pPr>
        <w:pStyle w:val="Heading1"/>
        <w:rPr>
          <w:lang w:val="es-ES"/>
        </w:rPr>
      </w:pPr>
      <w:r>
        <w:rPr>
          <w:lang w:val="es-ES"/>
        </w:rPr>
        <w:t xml:space="preserve">Ethical aspects</w:t>
      </w:r>
    </w:p>
    <w:p>
      <w:pPr>
        <w:pStyle w:val="Normal"/>
        <w:numPr>
          <w:ilvl w:val="0"/>
          <w:numId w:val="0"/>
        </w:numPr>
        <w:ind w:start="0" w:hanging="0"/>
        <w:rPr>
          <w:i/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 xml:space="preserve">Explain the ethical or legal issues that may affect the collection and exchange of data, such as data protection, informed consent or liability in the processing of data.</w:t>
      </w:r>
    </w:p>
    <w:p>
      <w:pPr>
        <w:pStyle w:val="Heading1"/>
        <w:rPr>
          <w:lang w:val="es-ES"/>
        </w:rPr>
      </w:pPr>
      <w:r>
        <w:rPr>
          <w:lang w:val="es-ES"/>
        </w:rPr>
        <w:t xml:space="preserve">Other issues</w:t>
      </w:r>
    </w:p>
    <w:p>
      <w:pPr>
        <w:pStyle w:val="Normal"/>
        <w:numPr>
          <w:ilvl w:val="0"/>
          <w:numId w:val="0"/>
        </w:numPr>
        <w:ind w:start="0" w:hanging="0"/>
        <w:rPr>
          <w:i/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 xml:space="preserve">Reference other national/sectoral/institutional/funding/institutional procedures used in research data management.</w:t>
      </w:r>
    </w:p>
    <w:p>
      <w:pPr>
        <w:pStyle w:val="Heading1"/>
        <w:rPr>
          <w:lang w:val="es-ES"/>
        </w:rPr>
      </w:pPr>
      <w:r>
        <w:rPr>
          <w:lang w:val="es-ES"/>
        </w:rPr>
        <w:t xml:space="preserve">Other support in the development of the plan</w:t>
      </w:r>
    </w:p>
    <w:p>
      <w:pPr>
        <w:pStyle w:val="Normal"/>
        <w:numPr>
          <w:ilvl w:val="0"/>
          <w:numId w:val="0"/>
        </w:numPr>
        <w:ind w:start="0" w:hanging="0"/>
        <w:rPr>
          <w:i/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 xml:space="preserve">Explain the resources used for the development of the plan (statistical software, external consultancy, anonymisation tools, data repositories).</w:t>
      </w:r>
    </w:p>
    <w:p>
      <w:pPr>
        <w:pStyle w:val="Heading1"/>
        <w:rPr/>
      </w:pPr>
      <w:r>
        <w:rPr/>
        <w:t xml:space="preserve">References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State Investigation Agency PGD Template:</w:t>
      </w:r>
    </w:p>
    <w:p>
      <w:pPr>
        <w:pStyle w:val="Normal"/>
        <w:numPr>
          <w:ilvl w:val="0"/>
          <w:numId w:val="0"/>
        </w:numPr>
        <w:ind w:start="0" w:hanging="0"/>
        <w:rPr>
          <w:i/>
          <w:i/>
          <w:iCs/>
          <w:sz w:val="24"/>
          <w:szCs w:val="24"/>
          <w:lang w:val="es-ES"/>
        </w:rPr>
      </w:pPr>
      <w:hyperlink w:tgtFrame="_blank" r:id="rId4">
        <w:bookmarkStart w:name="OWAbf9c7926-a0a7-90f1-4f69-3cef67b34676" w:id="0"/>
        <w:bookmarkEnd w:id="0"/>
        <w:r>
          <w:rPr>
            <w:rStyle w:val="Hyperlink"/>
            <w:rFonts w:ascii="Aptos;Aptos_EmbeddedFont;Aptos_MSFontService;sans-serif" w:hAnsi="Aptos;Aptos_EmbeddedFont;Aptos_MSFontService;sans-serif"/>
            <w:i/>
            <w:iCs/>
            <w:strike w:val="false"/>
            <w:dstrike w:val="false"/>
            <w:color w:val="0000FF"/>
            <w:sz w:val="24"/>
            <w:szCs w:val="24"/>
            <w:u w:val="none"/>
            <w:effect w:val="none"/>
            <w:lang w:val="es-ES"/>
          </w:rPr>
          <w:t xml:space="preserve">https://dmp.csuc.cat/template_export/872158758.pdf</w:t>
        </w:r>
      </w:hyperlink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FAIR Principles: Good practices for the management and administration of scientific data (News of 22/10/2017 in datos.gob.es):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start="0" w:hanging="0"/>
        <w:rPr>
          <w:i/>
          <w:i/>
          <w:iCs/>
          <w:sz w:val="24"/>
          <w:szCs w:val="24"/>
          <w:lang w:val="es-ES"/>
        </w:rPr>
      </w:pPr>
      <w:hyperlink r:id="rId5">
        <w:r>
          <w:rPr>
            <w:rStyle w:val="Hyperlink"/>
            <w:i/>
            <w:iCs/>
            <w:sz w:val="24"/>
            <w:szCs w:val="24"/>
            <w:lang w:val="es-ES"/>
          </w:rPr>
          <w:t xml:space="preserve">https://datos.gob.es/es/noticia/principios-fair-buenas-practicas-para-la-gestion-y-administracion-de-datos-cientificos</w:t>
        </w:r>
      </w:hyperlink>
    </w:p>
    <w:sectPr>
      <w:headerReference w:type="default" r:id="rId6"/>
      <w:footerReference w:type="default" r:id="rId7"/>
      <w:type w:val="nextPage"/>
      <w:pgSz w:w="11906" w:h="16838"/>
      <w:pgMar w:top="1682" w:right="1134" w:bottom="1715" w:left="1134" w:header="1134" w:footer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ariol Bold">
    <w:charset w:val="00"/>
    <w:family w:val="swiss"/>
    <w:pitch w:val="variable"/>
  </w:font>
  <w:font w:name="Bariol Regular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ariol Bold">
    <w:charset w:val="00"/>
    <w:family w:val="roman"/>
    <w:pitch w:val="variable"/>
  </w:font>
  <w:font w:name="Bariol Regular">
    <w:charset w:val="00"/>
    <w:family w:val="roman"/>
    <w:pitch w:val="variable"/>
  </w:font>
  <w:font w:name="Bariol Light">
    <w:charset w:val="00"/>
    <w:family w:val="roman"/>
    <w:pitch w:val="variable"/>
  </w:font>
  <w:font w:name="Aptos">
    <w:altName w:val="Aptos_EmbeddedFont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ab/>
      <w:tab/>
    </w:r>
    <w:r>
      <w:rPr>
        <w:color w:val="006E71"/>
      </w:rPr>
      <w:fldChar w:fldCharType="begin"/>
    </w:r>
    <w:r>
      <w:rPr>
        <w:color w:val="006E71"/>
      </w:rPr>
      <w:instrText xml:space="preserve"> PAGE </w:instrText>
    </w:r>
    <w:r>
      <w:rPr>
        <w:color w:val="006E71"/>
      </w:rPr>
      <w:fldChar w:fldCharType="separate"/>
    </w:r>
    <w:r>
      <w:rPr>
        <w:color w:val="006E71"/>
      </w:rPr>
      <w:t xml:space="preserve">4</w:t>
    </w:r>
    <w:r>
      <w:rPr>
        <w:color w:val="006E71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</w:rPr>
    </w:pPr>
    <w:r>
      <w:rPr>
        <w:b/>
        <w:bCs/>
      </w:rPr>
    </w:r>
  </w:p>
  <w:p>
    <w:pPr>
      <w:pStyle w:val="Header"/>
      <w:rPr/>
    </w:pPr>
    <w:r>
      <w:rPr/>
      <w:tab/>
    </w:r>
    <w:r>
      <w:rPr>
        <w:b w:val="false"/>
        <w:color w:val="005EA0"/>
        <w:shd w:val="clear" w:fill="auto"/>
      </w:rPr>
      <w:t xml:space="preserve">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suff w:val="space"/>
      <w:lvlText w:val="%1.%2."/>
      <w:lvlJc w:val="left"/>
      <w:pPr>
        <w:tabs>
          <w:tab w:val="num" w:pos="0"/>
        </w:tabs>
        <w:ind w:left="0" w:firstLine="720"/>
      </w:pPr>
      <w:rPr/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72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ca-ES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rFonts w:ascii="Bariol Bold" w:hAnsi="Bariol Bold"/>
      <w:b/>
      <w:bCs w:val="false"/>
      <w:color w:val="006E71"/>
      <w:sz w:val="36"/>
      <w:szCs w:val="36"/>
      <w:u w:val="single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tabs>
        <w:tab w:val="clear" w:pos="720"/>
      </w:tabs>
      <w:spacing w:before="200" w:after="120"/>
      <w:ind w:hanging="0" w:left="397" w:right="0"/>
      <w:outlineLvl w:val="1"/>
    </w:pPr>
    <w:rPr>
      <w:rFonts w:ascii="Bariol Regular" w:hAnsi="Bariol Regular"/>
      <w:b/>
      <w:bCs w:val="false"/>
      <w:i/>
      <w:iCs/>
      <w:color w:val="006E71"/>
      <w:sz w:val="32"/>
      <w:szCs w:val="32"/>
      <w:u w:val="single"/>
    </w:rPr>
  </w:style>
  <w:style w:type="paragraph" w:styleId="Heading3">
    <w:name w:val="Heading 3"/>
    <w:basedOn w:val="Ttulo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Bariol Regular" w:hAnsi="Bariol Regular"/>
      <w:b/>
      <w:bCs w:val="false"/>
      <w:i/>
      <w:iCs/>
      <w:color w:val="006E71"/>
      <w:sz w:val="28"/>
      <w:szCs w:val="28"/>
    </w:rPr>
  </w:style>
  <w:style w:type="paragraph" w:styleId="Heading4">
    <w:name w:val="Heading 4"/>
    <w:basedOn w:val="Ttulo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Ttulo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Ttulo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Ttulo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Ttulo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Ttulo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Liberation Serif" w:hAnsi="Liberation Serif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Ttulo"/>
    <w:next w:val="BodyText"/>
    <w:qFormat/>
    <w:pPr>
      <w:jc w:val="center"/>
    </w:pPr>
    <w:rPr>
      <w:rFonts w:ascii="Bariol Bold" w:hAnsi="Bariol Bold"/>
      <w:b/>
      <w:bCs w:val="false"/>
      <w:color w:val="006E71"/>
      <w:sz w:val="56"/>
      <w:szCs w:val="56"/>
    </w:rPr>
  </w:style>
  <w:style w:type="paragraph" w:styleId="Subtitle">
    <w:name w:val="Subtitle"/>
    <w:basedOn w:val="Ttulo"/>
    <w:next w:val="BodyText"/>
    <w:qFormat/>
    <w:pPr>
      <w:spacing w:before="60" w:after="120"/>
      <w:jc w:val="left"/>
    </w:pPr>
    <w:rPr>
      <w:rFonts w:ascii="Bariol Regular" w:hAnsi="Bariol Regular"/>
      <w:b w:val="false"/>
      <w:color w:val="000080"/>
      <w:sz w:val="36"/>
      <w:szCs w:val="36"/>
      <w:u w:val="single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>
      <w:color w:val="005EA0"/>
    </w:rPr>
  </w:style>
  <w:style w:type="paragraph" w:styleId="Header">
    <w:name w:val="Head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  <w:ind w:hanging="0" w:left="0" w:right="0"/>
      <w:jc w:val="left"/>
    </w:pPr>
    <w:rPr>
      <w:rFonts w:ascii="Bariol Light" w:hAnsi="Bariol Light"/>
      <w:b w:val="false"/>
      <w:color w:val="005EA0"/>
    </w:rPr>
  </w:style>
  <w:style w:type="paragraph" w:styleId="Cabeceraizquierda">
    <w:name w:val="Cabecera izquierda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Ttulo"/>
    <w:pPr>
      <w:suppressLineNumbers/>
      <w:ind w:hanging="0" w:left="0" w:right="0"/>
    </w:pPr>
    <w:rPr>
      <w:b/>
      <w:bCs/>
      <w:sz w:val="32"/>
      <w:szCs w:val="32"/>
    </w:rPr>
  </w:style>
  <w:style w:type="paragraph" w:styleId="TOCHeading">
    <w:name w:val="TOC Heading"/>
    <w:basedOn w:val="Ttulo"/>
    <w:qFormat/>
    <w:pPr>
      <w:suppressLineNumbers/>
      <w:ind w:hanging="0" w:left="0" w:right="0"/>
    </w:pPr>
    <w:rPr>
      <w:rFonts w:ascii="Bariol Bold" w:hAnsi="Bariol Bold"/>
      <w:b/>
      <w:bCs w:val="false"/>
      <w:color w:val="005EA0"/>
      <w:sz w:val="32"/>
      <w:szCs w:val="32"/>
    </w:rPr>
  </w:style>
  <w:style w:type="paragraph" w:styleId="TOC3">
    <w:name w:val="TOC 3"/>
    <w:basedOn w:val="Ndice"/>
    <w:pPr>
      <w:tabs>
        <w:tab w:val="clear" w:pos="720"/>
        <w:tab w:val="right" w:pos="9072" w:leader="dot"/>
      </w:tabs>
      <w:ind w:hanging="0" w:left="566" w:right="0"/>
    </w:pPr>
    <w:rPr/>
  </w:style>
  <w:style w:type="paragraph" w:styleId="TOC2">
    <w:name w:val="TOC 2"/>
    <w:basedOn w:val="Ndice"/>
    <w:pPr>
      <w:tabs>
        <w:tab w:val="clear" w:pos="720"/>
        <w:tab w:val="right" w:pos="9355" w:leader="dot"/>
      </w:tabs>
      <w:ind w:hanging="0" w:left="283" w:right="0"/>
    </w:pPr>
    <w:rPr/>
  </w:style>
  <w:style w:type="paragraph" w:styleId="TOC1">
    <w:name w:val="TOC 1"/>
    <w:basedOn w:val="Ndice"/>
    <w:pPr>
      <w:tabs>
        <w:tab w:val="clear" w:pos="720"/>
        <w:tab w:val="right" w:pos="9638" w:leader="dot"/>
      </w:tabs>
      <w:ind w:hanging="0" w:left="0" w:right="0"/>
    </w:pPr>
    <w:rPr/>
  </w:style>
  <w:style w:type="paragraph" w:styleId="Cita">
    <w:name w:val="Cita"/>
    <w:basedOn w:val="Normal"/>
    <w:qFormat/>
    <w:pPr>
      <w:spacing w:before="0" w:after="283"/>
      <w:ind w:hanging="0" w:left="567" w:right="567"/>
    </w:pPr>
    <w:rPr/>
  </w:style>
  <w:style w:type="paragraph" w:styleId="Ttulo10">
    <w:name w:val="Título 10"/>
    <w:basedOn w:val="Ttulo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hyperlink" Target="https://dmp.csuc.cat/template_export/872158758.pdf" TargetMode="External" Id="rId4" /><Relationship Type="http://schemas.openxmlformats.org/officeDocument/2006/relationships/hyperlink" Target="https://datos.gob.es/es/noticia/principios-fair-buenas-practicas-para-la-gestion-y-administracion-de-datos-cientificos" TargetMode="External" Id="rId5" /><Relationship Type="http://schemas.openxmlformats.org/officeDocument/2006/relationships/header" Target="header1.xml" Id="rId6" /><Relationship Type="http://schemas.openxmlformats.org/officeDocument/2006/relationships/footer" Target="footer1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hyperlink" Target="https://www.deepl.com/pro?cta=edit-document" TargetMode="External" Id="R412b4d66978c4924" /><Relationship Type="http://schemas.openxmlformats.org/officeDocument/2006/relationships/image" Target="/media/image3.png" Id="Rde2ecfeaa983408b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PRISIB Reunió</ap:Template>
  <ap:TotalTime>15</ap:TotalTime>
  <ap:Application>LibreOffice/7.6.5.2$Windows_X86_64 LibreOffice_project/38d5f62f85355c192ef5f1dd47c5c0c0c6d6598b</ap:Application>
  <ap:AppVersion>15.0000</ap:AppVersion>
  <ap:Pages>4</ap:Pages>
  <ap:Words>541</ap:Words>
  <ap:Characters>3293</ap:Characters>
  <ap:CharactersWithSpaces>3773</ap:CharactersWithSpaces>
  <ap:Paragraphs>58</ap:Paragraphs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2024-02-28T10:26:22.0000000Z</dcterms:created>
  <dc:creator>Pau Pericàs</dc:creator>
  <dc:description/>
  <dc:language>ca-ES</dc:language>
  <lastModifiedBy/>
  <dcterms:modified xsi:type="dcterms:W3CDTF">2024-08-09T11:06:23.0000000Z</dcterms:modified>
  <revision>4</revision>
  <dc:subject/>
  <dc:title/>
  <keywords>, docId:C4F469846C8CC65801A42E85FC79FA41</keywords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